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6"/>
        <w:jc w:val="left"/>
        <w:rPr>
          <w:rFonts w:hint="default" w:eastAsia="宋体"/>
          <w:b/>
          <w:sz w:val="20"/>
          <w:szCs w:val="20"/>
          <w:lang w:val="en-US" w:eastAsia="zh-CN"/>
        </w:rPr>
      </w:pPr>
      <w:bookmarkStart w:id="0" w:name="Title"/>
      <w:bookmarkEnd w:id="0"/>
      <w:bookmarkStart w:id="1" w:name="DocumentFor"/>
      <w:bookmarkEnd w:id="1"/>
      <w:r>
        <w:rPr>
          <w:b/>
          <w:sz w:val="20"/>
          <w:szCs w:val="20"/>
        </w:rPr>
        <w:t>3GPP TSG RAN WG2</w:t>
      </w:r>
      <w:r>
        <w:rPr>
          <w:rFonts w:hint="eastAsia"/>
          <w:b/>
          <w:sz w:val="20"/>
          <w:szCs w:val="20"/>
        </w:rPr>
        <w:t xml:space="preserve"> Meeting </w:t>
      </w:r>
      <w:r>
        <w:rPr>
          <w:b/>
          <w:sz w:val="20"/>
          <w:szCs w:val="20"/>
        </w:rPr>
        <w:t>#1</w:t>
      </w:r>
      <w:r>
        <w:rPr>
          <w:rFonts w:hint="eastAsia" w:eastAsia="宋体"/>
          <w:b/>
          <w:sz w:val="20"/>
          <w:szCs w:val="20"/>
          <w:lang w:val="en-US" w:eastAsia="zh-CN"/>
        </w:rPr>
        <w:t>29</w:t>
      </w:r>
      <w:r>
        <w:rPr>
          <w:b/>
          <w:sz w:val="20"/>
          <w:szCs w:val="20"/>
        </w:rPr>
        <w:tab/>
      </w:r>
      <w:r>
        <w:rPr>
          <w:rFonts w:hint="eastAsia"/>
          <w:b/>
          <w:sz w:val="20"/>
          <w:szCs w:val="20"/>
        </w:rPr>
        <w:t>R2-2501036</w:t>
      </w:r>
      <w:bookmarkStart w:id="23" w:name="_GoBack"/>
      <w:bookmarkEnd w:id="23"/>
    </w:p>
    <w:p>
      <w:pPr>
        <w:pStyle w:val="56"/>
        <w:jc w:val="left"/>
        <w:rPr>
          <w:rFonts w:hint="eastAsia" w:eastAsia="宋体" w:cs="Arial"/>
          <w:sz w:val="20"/>
          <w:szCs w:val="20"/>
          <w:lang w:val="en-US" w:eastAsia="zh-CN"/>
        </w:rPr>
      </w:pPr>
      <w:r>
        <w:rPr>
          <w:rFonts w:hint="eastAsia" w:cs="Arial"/>
          <w:sz w:val="20"/>
          <w:szCs w:val="20"/>
        </w:rPr>
        <w:t xml:space="preserve">Athens, GR, </w:t>
      </w:r>
      <w:r>
        <w:rPr>
          <w:rFonts w:hint="eastAsia" w:eastAsia="宋体" w:cs="Arial"/>
          <w:sz w:val="20"/>
          <w:szCs w:val="20"/>
          <w:lang w:val="en-US" w:eastAsia="zh-CN"/>
        </w:rPr>
        <w:t xml:space="preserve">Feb. </w:t>
      </w:r>
      <w:r>
        <w:rPr>
          <w:rFonts w:hint="eastAsia" w:cs="Arial"/>
          <w:sz w:val="20"/>
          <w:szCs w:val="20"/>
        </w:rPr>
        <w:t>1</w:t>
      </w:r>
      <w:r>
        <w:rPr>
          <w:rFonts w:hint="eastAsia" w:eastAsia="宋体" w:cs="Arial"/>
          <w:sz w:val="20"/>
          <w:szCs w:val="20"/>
          <w:lang w:val="en-US" w:eastAsia="zh-CN"/>
        </w:rPr>
        <w:t>7</w:t>
      </w:r>
      <w:r>
        <w:rPr>
          <w:rFonts w:hint="eastAsia" w:cs="Arial"/>
          <w:sz w:val="20"/>
          <w:szCs w:val="20"/>
        </w:rPr>
        <w:t xml:space="preserve"> – 2</w:t>
      </w:r>
      <w:r>
        <w:rPr>
          <w:rFonts w:hint="eastAsia" w:eastAsia="宋体" w:cs="Arial"/>
          <w:sz w:val="20"/>
          <w:szCs w:val="20"/>
          <w:lang w:val="en-US" w:eastAsia="zh-CN"/>
        </w:rPr>
        <w:t>1</w:t>
      </w:r>
      <w:r>
        <w:rPr>
          <w:rFonts w:hint="eastAsia" w:cs="Arial"/>
          <w:sz w:val="20"/>
          <w:szCs w:val="20"/>
        </w:rPr>
        <w:t>, 202</w:t>
      </w:r>
      <w:r>
        <w:rPr>
          <w:rFonts w:hint="eastAsia" w:eastAsia="宋体" w:cs="Arial"/>
          <w:sz w:val="20"/>
          <w:szCs w:val="20"/>
          <w:lang w:val="en-US" w:eastAsia="zh-CN"/>
        </w:rPr>
        <w:t>5</w:t>
      </w:r>
    </w:p>
    <w:p>
      <w:pPr>
        <w:pStyle w:val="56"/>
        <w:jc w:val="left"/>
        <w:rPr>
          <w:rFonts w:hint="default" w:eastAsia="宋体" w:cs="Arial"/>
          <w:sz w:val="20"/>
          <w:szCs w:val="20"/>
          <w:lang w:val="en-US" w:eastAsia="zh-CN"/>
        </w:rPr>
      </w:pPr>
      <w:r>
        <w:rPr>
          <w:rFonts w:cs="Arial"/>
          <w:sz w:val="20"/>
          <w:szCs w:val="20"/>
        </w:rPr>
        <w:t>Agenda Item:</w:t>
      </w:r>
      <w:r>
        <w:rPr>
          <w:rFonts w:cs="Arial"/>
          <w:sz w:val="20"/>
          <w:szCs w:val="20"/>
        </w:rPr>
        <w:tab/>
      </w:r>
      <w:r>
        <w:rPr>
          <w:rFonts w:hint="eastAsia" w:eastAsia="宋体" w:cs="Arial"/>
          <w:sz w:val="20"/>
          <w:szCs w:val="20"/>
          <w:lang w:val="en-US" w:eastAsia="zh-CN"/>
        </w:rPr>
        <w:t>8.17</w:t>
      </w:r>
    </w:p>
    <w:p>
      <w:pPr>
        <w:pStyle w:val="56"/>
        <w:jc w:val="left"/>
        <w:rPr>
          <w:rFonts w:cs="Arial"/>
          <w:sz w:val="20"/>
          <w:szCs w:val="20"/>
        </w:rPr>
      </w:pPr>
      <w:r>
        <w:rPr>
          <w:rFonts w:cs="Arial"/>
          <w:sz w:val="20"/>
          <w:szCs w:val="20"/>
        </w:rPr>
        <w:t>Source:</w:t>
      </w:r>
      <w:r>
        <w:rPr>
          <w:rFonts w:cs="Arial"/>
          <w:sz w:val="20"/>
          <w:szCs w:val="20"/>
        </w:rPr>
        <w:tab/>
      </w:r>
      <w:r>
        <w:rPr>
          <w:rFonts w:eastAsia="宋体" w:cs="Arial"/>
          <w:sz w:val="20"/>
          <w:szCs w:val="20"/>
        </w:rPr>
        <w:t>CMCC</w:t>
      </w:r>
      <w:r>
        <w:rPr>
          <w:rFonts w:eastAsia="宋体" w:cs="Arial"/>
          <w:sz w:val="20"/>
          <w:szCs w:val="20"/>
        </w:rPr>
        <w:tab/>
      </w:r>
    </w:p>
    <w:p>
      <w:pPr>
        <w:pStyle w:val="56"/>
        <w:jc w:val="left"/>
        <w:rPr>
          <w:rFonts w:hint="default" w:cs="Arial" w:eastAsiaTheme="minorEastAsia"/>
          <w:sz w:val="20"/>
          <w:szCs w:val="20"/>
          <w:lang w:val="en-US" w:eastAsia="zh-CN"/>
        </w:rPr>
      </w:pPr>
      <w:r>
        <w:rPr>
          <w:rFonts w:cs="Arial"/>
          <w:sz w:val="20"/>
          <w:szCs w:val="20"/>
        </w:rPr>
        <w:t>Title:</w:t>
      </w:r>
      <w:r>
        <w:rPr>
          <w:rFonts w:cs="Arial"/>
          <w:sz w:val="20"/>
          <w:szCs w:val="20"/>
        </w:rPr>
        <w:tab/>
      </w:r>
      <w:r>
        <w:rPr>
          <w:rFonts w:hint="eastAsia" w:eastAsia="宋体" w:cs="Arial"/>
          <w:sz w:val="20"/>
          <w:szCs w:val="20"/>
          <w:lang w:val="en-US" w:eastAsia="zh-CN"/>
        </w:rPr>
        <w:t>Support</w:t>
      </w:r>
      <w:r>
        <w:rPr>
          <w:rFonts w:hint="eastAsia" w:cs="Arial" w:eastAsiaTheme="minorEastAsia"/>
          <w:sz w:val="20"/>
          <w:szCs w:val="20"/>
          <w:lang w:val="en-US" w:eastAsia="zh-CN"/>
        </w:rPr>
        <w:t xml:space="preserve"> of IoT-NTN TDD mode</w:t>
      </w:r>
    </w:p>
    <w:p>
      <w:pPr>
        <w:pStyle w:val="56"/>
        <w:jc w:val="left"/>
        <w:rPr>
          <w:rFonts w:hint="eastAsia" w:eastAsia="宋体" w:cs="Arial"/>
          <w:sz w:val="20"/>
          <w:szCs w:val="20"/>
          <w:lang w:val="en-US" w:eastAsia="zh-CN"/>
        </w:rPr>
      </w:pPr>
      <w:r>
        <w:rPr>
          <w:rFonts w:cs="Arial"/>
          <w:sz w:val="20"/>
          <w:szCs w:val="20"/>
        </w:rPr>
        <w:t>Document for:</w:t>
      </w:r>
      <w:r>
        <w:rPr>
          <w:rFonts w:cs="Arial"/>
          <w:sz w:val="20"/>
          <w:szCs w:val="20"/>
        </w:rPr>
        <w:tab/>
      </w:r>
      <w:r>
        <w:rPr>
          <w:rFonts w:cs="Arial"/>
          <w:sz w:val="20"/>
          <w:szCs w:val="20"/>
        </w:rPr>
        <w:t>Discussion, Decision</w:t>
      </w:r>
      <w:r>
        <w:rPr>
          <w:rFonts w:hint="eastAsia" w:eastAsia="宋体" w:cs="Arial"/>
          <w:sz w:val="20"/>
          <w:szCs w:val="20"/>
          <w:lang w:val="en-US" w:eastAsia="zh-CN"/>
        </w:rPr>
        <w:t xml:space="preserve"> </w:t>
      </w:r>
    </w:p>
    <w:p>
      <w:pPr>
        <w:pStyle w:val="2"/>
        <w:rPr>
          <w:rFonts w:cs="Arial"/>
          <w:sz w:val="32"/>
          <w:szCs w:val="32"/>
        </w:rPr>
      </w:pPr>
      <w:r>
        <w:rPr>
          <w:rFonts w:cs="Arial"/>
          <w:sz w:val="32"/>
          <w:szCs w:val="32"/>
        </w:rPr>
        <w:t>Introduction</w:t>
      </w:r>
    </w:p>
    <w:p>
      <w:pPr>
        <w:suppressAutoHyphens/>
        <w:adjustRightInd/>
        <w:spacing w:before="120"/>
        <w:rPr>
          <w:rFonts w:hint="default" w:cs="Arial" w:eastAsiaTheme="minorEastAsia"/>
          <w:bCs/>
          <w:lang w:val="en-US"/>
        </w:rPr>
      </w:pPr>
      <w:r>
        <w:rPr>
          <w:rFonts w:eastAsiaTheme="minorEastAsia"/>
          <w:bCs/>
        </w:rPr>
        <w:t xml:space="preserve">In </w:t>
      </w:r>
      <w:r>
        <w:rPr>
          <w:rFonts w:hint="eastAsia" w:eastAsiaTheme="minorEastAsia"/>
          <w:bCs/>
          <w:lang w:val="en-US" w:eastAsia="zh-CN"/>
        </w:rPr>
        <w:t>RAN #105 new WID on introduction of IoT-NTN TDD mode is agreed</w:t>
      </w:r>
      <w:r>
        <w:rPr>
          <w:rFonts w:eastAsiaTheme="minorEastAsia"/>
          <w:bCs/>
        </w:rPr>
        <w:t xml:space="preserve">, </w:t>
      </w:r>
      <w:r>
        <w:rPr>
          <w:rFonts w:hint="eastAsia" w:cs="Arial" w:eastAsiaTheme="minorEastAsia"/>
          <w:bCs/>
          <w:lang w:val="en-US" w:eastAsia="zh-CN"/>
        </w:rPr>
        <w:t>the latest WID scope is approved in RAN #106 based on the study of RAN1/4, and RAN2 related work is excerpted as following</w:t>
      </w:r>
      <w:r>
        <w:rPr>
          <w:rFonts w:hint="default" w:cs="Arial" w:eastAsiaTheme="minorEastAsia"/>
          <w:bCs/>
          <w:lang w:val="en-US"/>
        </w:rPr>
        <w:t>[1]</w:t>
      </w:r>
      <w:r>
        <w:rPr>
          <w:rFonts w:cs="Arial" w:eastAsiaTheme="minorEastAsia"/>
          <w:bCs/>
        </w:rPr>
        <w:t>:</w:t>
      </w:r>
      <w:r>
        <w:rPr>
          <w:rFonts w:hint="default" w:cs="Arial" w:eastAsiaTheme="minorEastAsia"/>
          <w:bCs/>
          <w:lang w:val="en-U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numPr>
                <w:ilvl w:val="0"/>
                <w:numId w:val="11"/>
              </w:numPr>
              <w:spacing w:after="120"/>
            </w:pPr>
            <w:r>
              <w:t>Specify a new NB-IoT TDD NTN mode</w:t>
            </w:r>
            <w:r>
              <w:rPr>
                <w:rStyle w:val="116"/>
              </w:rPr>
              <w:t xml:space="preserve"> </w:t>
            </w:r>
            <w:r>
              <w:rPr>
                <w:rStyle w:val="117"/>
              </w:rPr>
              <w:t>based on minimum necessary changes to the NB-IoT NTN FDD frame structure and procedures</w:t>
            </w:r>
            <w:r>
              <w:t>, including:</w:t>
            </w:r>
          </w:p>
          <w:p>
            <w:pPr>
              <w:numPr>
                <w:ilvl w:val="1"/>
                <w:numId w:val="12"/>
              </w:numPr>
              <w:spacing w:after="120"/>
            </w:pPr>
            <w:r>
              <w:t>Definition, configuration (if needed) and signaling (if needed) of the periodic pattern, necessary adaptation (if needed) and associated UE procedures [RAN1, RAN2]</w:t>
            </w:r>
          </w:p>
          <w:p>
            <w:pPr>
              <w:numPr>
                <w:ilvl w:val="3"/>
                <w:numId w:val="12"/>
              </w:numPr>
              <w:spacing w:after="120"/>
            </w:pPr>
            <w:r>
              <w:t>Support a pattern with a period of 9 radio frames for the target MSS allocated band, where D=U=8 with a fixed guard period.</w:t>
            </w:r>
            <w:r>
              <w:rPr>
                <w:rFonts w:hint="cs"/>
              </w:rPr>
              <w:t>R</w:t>
            </w:r>
            <w:r>
              <w:t>AN1 to consider whether there is a need for a mechanism to achieve an adjustable guard period for the purpose of allowing deployment with the TDD frame structure of the legacy system operating in the target MSS allocated band.</w:t>
            </w:r>
          </w:p>
          <w:p>
            <w:pPr>
              <w:numPr>
                <w:ilvl w:val="1"/>
                <w:numId w:val="12"/>
              </w:numPr>
              <w:spacing w:after="120"/>
              <w:rPr>
                <w:vertAlign w:val="baseline"/>
              </w:rPr>
            </w:pPr>
            <w:r>
              <w:t>Other necessary impacts on higher layers [RAN2]</w:t>
            </w:r>
          </w:p>
        </w:tc>
      </w:tr>
    </w:tbl>
    <w:p>
      <w:pPr>
        <w:suppressAutoHyphens/>
        <w:adjustRightInd/>
        <w:spacing w:before="120"/>
        <w:rPr>
          <w:rFonts w:eastAsiaTheme="minorEastAsia"/>
        </w:rPr>
      </w:pPr>
      <w:r>
        <w:rPr>
          <w:rFonts w:hint="eastAsia" w:cs="Arial" w:eastAsiaTheme="minorEastAsia"/>
        </w:rPr>
        <w:t>I</w:t>
      </w:r>
      <w:r>
        <w:rPr>
          <w:rFonts w:cs="Arial"/>
        </w:rPr>
        <w:t xml:space="preserve">n this contribution, we would like to provide </w:t>
      </w:r>
      <w:r>
        <w:rPr>
          <w:rFonts w:hint="eastAsia" w:cs="Arial" w:eastAsiaTheme="minorEastAsia"/>
          <w:lang w:val="en-US" w:eastAsia="zh-CN"/>
        </w:rPr>
        <w:t>some considerations</w:t>
      </w:r>
      <w:r>
        <w:rPr>
          <w:rFonts w:hint="eastAsia" w:cs="Arial" w:eastAsiaTheme="minorEastAsia"/>
        </w:rPr>
        <w:t xml:space="preserve"> </w:t>
      </w:r>
      <w:r>
        <w:rPr>
          <w:rFonts w:cs="Arial"/>
        </w:rPr>
        <w:t xml:space="preserve">on </w:t>
      </w:r>
      <w:r>
        <w:rPr>
          <w:rFonts w:hint="eastAsia" w:eastAsia="宋体" w:cs="Arial"/>
          <w:lang w:val="en-US" w:eastAsia="zh-CN"/>
        </w:rPr>
        <w:t>support of IoT-NTN TDD mode</w:t>
      </w:r>
      <w:r>
        <w:rPr>
          <w:rFonts w:hint="eastAsia" w:cs="Arial" w:eastAsiaTheme="minorEastAsia"/>
        </w:rPr>
        <w:t>.</w:t>
      </w:r>
    </w:p>
    <w:p>
      <w:pPr>
        <w:pStyle w:val="2"/>
        <w:rPr>
          <w:rFonts w:hint="default" w:cs="Arial"/>
          <w:sz w:val="32"/>
          <w:szCs w:val="32"/>
          <w:lang w:val="en-US" w:eastAsia="zh-CN"/>
        </w:rPr>
      </w:pPr>
      <w:r>
        <w:rPr>
          <w:rFonts w:cs="Arial"/>
          <w:sz w:val="32"/>
          <w:szCs w:val="32"/>
        </w:rPr>
        <w:t>Discussion</w:t>
      </w:r>
      <w:bookmarkStart w:id="2" w:name="_Hlk41985036"/>
    </w:p>
    <w:p>
      <w:pPr>
        <w:pStyle w:val="3"/>
        <w:bidi w:val="0"/>
        <w:rPr>
          <w:rFonts w:hint="default" w:eastAsiaTheme="minorEastAsia"/>
          <w:b/>
          <w:bCs/>
          <w:sz w:val="24"/>
          <w:szCs w:val="24"/>
          <w:u w:val="single"/>
          <w:lang w:val="en-US" w:eastAsia="zh-CN"/>
        </w:rPr>
      </w:pPr>
      <w:r>
        <w:rPr>
          <w:rFonts w:hint="eastAsia" w:eastAsia="宋体" w:cs="Arial"/>
          <w:b/>
          <w:bCs/>
          <w:sz w:val="24"/>
          <w:szCs w:val="24"/>
          <w:lang w:val="en-US" w:eastAsia="zh-CN"/>
        </w:rPr>
        <w:t xml:space="preserve"> User plane impact</w:t>
      </w:r>
    </w:p>
    <w:p>
      <w:pPr>
        <w:pStyle w:val="4"/>
        <w:numPr>
          <w:ilvl w:val="1"/>
          <w:numId w:val="0"/>
        </w:numPr>
        <w:bidi w:val="0"/>
        <w:ind w:left="142" w:leftChars="0"/>
        <w:rPr>
          <w:rFonts w:hint="eastAsia" w:eastAsiaTheme="minorEastAsia"/>
          <w:b w:val="0"/>
          <w:bCs w:val="0"/>
          <w:sz w:val="20"/>
          <w:szCs w:val="20"/>
          <w:lang w:val="en-US" w:eastAsia="zh-CN"/>
        </w:rPr>
      </w:pPr>
      <w:r>
        <w:rPr>
          <w:rFonts w:hint="eastAsia"/>
          <w:b/>
          <w:bCs/>
          <w:sz w:val="20"/>
          <w:szCs w:val="20"/>
          <w:lang w:val="en-US" w:eastAsia="zh-CN"/>
        </w:rPr>
        <w:t>2.1.1 Windows/timers enhancements</w:t>
      </w:r>
    </w:p>
    <w:p>
      <w:pPr>
        <w:pStyle w:val="60"/>
        <w:spacing w:after="0"/>
        <w:ind w:left="0" w:firstLine="0"/>
        <w:rPr>
          <w:rFonts w:hint="eastAsia" w:eastAsiaTheme="minorEastAsia"/>
          <w:b w:val="0"/>
          <w:bCs w:val="0"/>
          <w:sz w:val="20"/>
          <w:szCs w:val="20"/>
          <w:lang w:val="en-US" w:eastAsia="zh-CN"/>
        </w:rPr>
      </w:pPr>
      <w:r>
        <w:rPr>
          <w:rFonts w:hint="eastAsia" w:eastAsiaTheme="minorEastAsia"/>
          <w:b w:val="0"/>
          <w:bCs w:val="0"/>
          <w:sz w:val="20"/>
          <w:szCs w:val="20"/>
          <w:lang w:val="en-US" w:eastAsia="zh-CN"/>
        </w:rPr>
        <w:t xml:space="preserve">Per the existing specification, for IoT-NTN FDD, considering the long propagation delay, there are several UP timers/windows are extended or delay start with UE-eNB RTT. As shown in the Table 1, the start of ra-ResponseWindow/mac-ContentionResolutionTimer/pur-ResponseWindowTimer is delayed with UE-eNB RTT. And </w:t>
      </w:r>
      <w:r>
        <w:rPr>
          <w:rFonts w:hint="eastAsia" w:eastAsiaTheme="minorEastAsia"/>
          <w:b w:val="0"/>
          <w:bCs w:val="0"/>
          <w:sz w:val="20"/>
          <w:szCs w:val="20"/>
          <w:vertAlign w:val="baseline"/>
          <w:lang w:val="en-US" w:eastAsia="zh-CN"/>
        </w:rPr>
        <w:t xml:space="preserve">UL HARQ RTT timer is extended with UE-eNB RTT. Then for RLC </w:t>
      </w:r>
      <w:r>
        <w:rPr>
          <w:rFonts w:hint="eastAsia" w:eastAsiaTheme="minorEastAsia"/>
          <w:b w:val="0"/>
          <w:bCs w:val="0"/>
          <w:sz w:val="20"/>
          <w:szCs w:val="20"/>
          <w:lang w:val="en-US" w:eastAsia="zh-CN"/>
        </w:rPr>
        <w:t>t-Reordering timer and PDCP discardTimer, new values are introduced.</w:t>
      </w:r>
    </w:p>
    <w:p>
      <w:pPr>
        <w:pStyle w:val="60"/>
        <w:spacing w:after="0"/>
        <w:ind w:left="0" w:firstLine="0"/>
        <w:jc w:val="center"/>
        <w:rPr>
          <w:rFonts w:hint="default" w:eastAsiaTheme="minorEastAsia"/>
          <w:b/>
          <w:bCs/>
          <w:sz w:val="20"/>
          <w:szCs w:val="20"/>
          <w:lang w:val="en-US" w:eastAsia="zh-CN"/>
        </w:rPr>
      </w:pPr>
      <w:r>
        <w:rPr>
          <w:rFonts w:hint="eastAsia" w:eastAsiaTheme="minorEastAsia"/>
          <w:b/>
          <w:bCs/>
          <w:sz w:val="20"/>
          <w:szCs w:val="20"/>
          <w:lang w:val="en-US" w:eastAsia="zh-CN"/>
        </w:rPr>
        <w:t>Table 1 Existing enhanced UP window/timer for IoT-NTN FDD</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9"/>
        <w:gridCol w:w="3860"/>
        <w:gridCol w:w="4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9" w:type="dxa"/>
          </w:tcPr>
          <w:p>
            <w:pPr>
              <w:pStyle w:val="60"/>
              <w:spacing w:after="0"/>
              <w:rPr>
                <w:rFonts w:hint="default" w:eastAsiaTheme="minorEastAsia"/>
                <w:b w:val="0"/>
                <w:bCs w:val="0"/>
                <w:sz w:val="20"/>
                <w:szCs w:val="20"/>
                <w:vertAlign w:val="baseline"/>
                <w:lang w:val="en-US" w:eastAsia="zh-CN"/>
              </w:rPr>
            </w:pPr>
            <w:r>
              <w:rPr>
                <w:rFonts w:hint="eastAsia" w:eastAsiaTheme="minorEastAsia"/>
                <w:b w:val="0"/>
                <w:bCs w:val="0"/>
                <w:sz w:val="20"/>
                <w:szCs w:val="20"/>
                <w:vertAlign w:val="baseline"/>
                <w:lang w:val="en-US" w:eastAsia="zh-CN"/>
              </w:rPr>
              <w:t>Layer 2</w:t>
            </w:r>
          </w:p>
        </w:tc>
        <w:tc>
          <w:tcPr>
            <w:tcW w:w="3860" w:type="dxa"/>
          </w:tcPr>
          <w:p>
            <w:pPr>
              <w:pStyle w:val="60"/>
              <w:spacing w:after="0"/>
              <w:rPr>
                <w:rFonts w:hint="default" w:eastAsiaTheme="minorEastAsia"/>
                <w:b w:val="0"/>
                <w:bCs w:val="0"/>
                <w:sz w:val="20"/>
                <w:szCs w:val="20"/>
                <w:vertAlign w:val="baseline"/>
                <w:lang w:val="en-US" w:eastAsia="zh-CN"/>
              </w:rPr>
            </w:pPr>
            <w:r>
              <w:rPr>
                <w:rFonts w:hint="eastAsia" w:eastAsiaTheme="minorEastAsia"/>
                <w:b w:val="0"/>
                <w:bCs w:val="0"/>
                <w:sz w:val="20"/>
                <w:szCs w:val="20"/>
                <w:vertAlign w:val="baseline"/>
                <w:lang w:val="en-US" w:eastAsia="zh-CN"/>
              </w:rPr>
              <w:t>Enhanced window/timer</w:t>
            </w:r>
          </w:p>
        </w:tc>
        <w:tc>
          <w:tcPr>
            <w:tcW w:w="4196" w:type="dxa"/>
          </w:tcPr>
          <w:p>
            <w:pPr>
              <w:pStyle w:val="60"/>
              <w:spacing w:after="0"/>
              <w:rPr>
                <w:rFonts w:hint="default" w:eastAsiaTheme="minorEastAsia"/>
                <w:b w:val="0"/>
                <w:bCs w:val="0"/>
                <w:sz w:val="20"/>
                <w:szCs w:val="20"/>
                <w:vertAlign w:val="baseline"/>
                <w:lang w:val="en-US" w:eastAsia="zh-CN"/>
              </w:rPr>
            </w:pPr>
            <w:r>
              <w:rPr>
                <w:rFonts w:hint="eastAsia" w:eastAsiaTheme="minorEastAsia"/>
                <w:b w:val="0"/>
                <w:bCs w:val="0"/>
                <w:sz w:val="20"/>
                <w:szCs w:val="20"/>
                <w:vertAlign w:val="baseline"/>
                <w:lang w:val="en-US" w:eastAsia="zh-CN"/>
              </w:rPr>
              <w:t>Specific enhancements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9" w:type="dxa"/>
            <w:vMerge w:val="restart"/>
            <w:vAlign w:val="top"/>
          </w:tcPr>
          <w:p>
            <w:pPr>
              <w:pStyle w:val="60"/>
              <w:spacing w:after="0"/>
              <w:ind w:left="568" w:leftChars="0" w:hanging="284" w:firstLineChars="0"/>
              <w:rPr>
                <w:rFonts w:hint="default" w:ascii="Arial" w:hAnsi="Arial" w:cs="Times New Roman" w:eastAsiaTheme="minorEastAsia"/>
                <w:b w:val="0"/>
                <w:bCs w:val="0"/>
                <w:sz w:val="20"/>
                <w:szCs w:val="20"/>
                <w:vertAlign w:val="baseline"/>
                <w:lang w:val="en-US" w:eastAsia="zh-CN" w:bidi="ar-SA"/>
              </w:rPr>
            </w:pPr>
            <w:r>
              <w:rPr>
                <w:rFonts w:hint="eastAsia" w:eastAsiaTheme="minorEastAsia"/>
                <w:b w:val="0"/>
                <w:bCs w:val="0"/>
                <w:sz w:val="20"/>
                <w:szCs w:val="20"/>
                <w:vertAlign w:val="baseline"/>
                <w:lang w:val="en-US" w:eastAsia="zh-CN"/>
              </w:rPr>
              <w:t xml:space="preserve">MAC </w:t>
            </w:r>
          </w:p>
        </w:tc>
        <w:tc>
          <w:tcPr>
            <w:tcW w:w="3860" w:type="dxa"/>
            <w:vAlign w:val="top"/>
          </w:tcPr>
          <w:p>
            <w:pPr>
              <w:pStyle w:val="60"/>
              <w:spacing w:after="0"/>
              <w:ind w:left="568" w:leftChars="0" w:hanging="284" w:firstLineChars="0"/>
              <w:rPr>
                <w:rFonts w:hint="default" w:ascii="Arial" w:hAnsi="Arial" w:cs="Times New Roman" w:eastAsiaTheme="minorEastAsia"/>
                <w:b w:val="0"/>
                <w:bCs w:val="0"/>
                <w:sz w:val="20"/>
                <w:szCs w:val="20"/>
                <w:vertAlign w:val="baseline"/>
                <w:lang w:val="en-US" w:eastAsia="zh-CN" w:bidi="ar-SA"/>
              </w:rPr>
            </w:pPr>
            <w:r>
              <w:rPr>
                <w:rFonts w:hint="eastAsia" w:eastAsiaTheme="minorEastAsia"/>
                <w:b w:val="0"/>
                <w:bCs w:val="0"/>
                <w:sz w:val="20"/>
                <w:szCs w:val="20"/>
                <w:lang w:val="en-US" w:eastAsia="zh-CN"/>
              </w:rPr>
              <w:t>ra-ResponseWindow</w:t>
            </w:r>
          </w:p>
        </w:tc>
        <w:tc>
          <w:tcPr>
            <w:tcW w:w="4196" w:type="dxa"/>
          </w:tcPr>
          <w:p>
            <w:pPr>
              <w:pStyle w:val="60"/>
              <w:spacing w:after="0"/>
              <w:rPr>
                <w:rFonts w:hint="default" w:eastAsiaTheme="minorEastAsia"/>
                <w:b w:val="0"/>
                <w:bCs w:val="0"/>
                <w:sz w:val="20"/>
                <w:szCs w:val="20"/>
                <w:vertAlign w:val="baseline"/>
                <w:lang w:val="en-US" w:eastAsia="zh-CN"/>
              </w:rPr>
            </w:pPr>
            <w:r>
              <w:rPr>
                <w:rFonts w:hint="eastAsia" w:eastAsiaTheme="minorEastAsia"/>
                <w:b w:val="0"/>
                <w:bCs w:val="0"/>
                <w:sz w:val="20"/>
                <w:szCs w:val="20"/>
                <w:lang w:val="en-US" w:eastAsia="zh-CN"/>
              </w:rPr>
              <w:t>delay start with UE-eNB RTT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9" w:type="dxa"/>
            <w:vMerge w:val="continue"/>
          </w:tcPr>
          <w:p>
            <w:pPr>
              <w:pStyle w:val="60"/>
              <w:spacing w:after="0"/>
              <w:rPr>
                <w:rFonts w:hint="default" w:eastAsiaTheme="minorEastAsia"/>
                <w:b w:val="0"/>
                <w:bCs w:val="0"/>
                <w:sz w:val="20"/>
                <w:szCs w:val="20"/>
                <w:vertAlign w:val="baseline"/>
                <w:lang w:val="en-US" w:eastAsia="zh-CN"/>
              </w:rPr>
            </w:pPr>
          </w:p>
        </w:tc>
        <w:tc>
          <w:tcPr>
            <w:tcW w:w="3860" w:type="dxa"/>
          </w:tcPr>
          <w:p>
            <w:pPr>
              <w:pStyle w:val="60"/>
              <w:spacing w:after="0"/>
              <w:ind w:left="0" w:firstLine="0"/>
              <w:rPr>
                <w:rFonts w:hint="default" w:eastAsiaTheme="minorEastAsia"/>
                <w:b w:val="0"/>
                <w:bCs w:val="0"/>
                <w:sz w:val="20"/>
                <w:szCs w:val="20"/>
                <w:vertAlign w:val="baseline"/>
                <w:lang w:val="en-US" w:eastAsia="zh-CN"/>
              </w:rPr>
            </w:pPr>
            <w:r>
              <w:rPr>
                <w:rFonts w:hint="eastAsia" w:eastAsiaTheme="minorEastAsia"/>
                <w:b w:val="0"/>
                <w:bCs w:val="0"/>
                <w:sz w:val="20"/>
                <w:szCs w:val="20"/>
                <w:lang w:val="en-US" w:eastAsia="zh-CN"/>
              </w:rPr>
              <w:t>mac-ContentionResolutionTimer</w:t>
            </w:r>
          </w:p>
        </w:tc>
        <w:tc>
          <w:tcPr>
            <w:tcW w:w="4196" w:type="dxa"/>
          </w:tcPr>
          <w:p>
            <w:pPr>
              <w:pStyle w:val="60"/>
              <w:spacing w:after="0"/>
              <w:rPr>
                <w:rFonts w:hint="default" w:eastAsiaTheme="minorEastAsia"/>
                <w:b w:val="0"/>
                <w:bCs w:val="0"/>
                <w:sz w:val="20"/>
                <w:szCs w:val="20"/>
                <w:vertAlign w:val="baseline"/>
                <w:lang w:val="en-US" w:eastAsia="zh-CN"/>
              </w:rPr>
            </w:pPr>
            <w:r>
              <w:rPr>
                <w:rFonts w:hint="eastAsia" w:eastAsiaTheme="minorEastAsia"/>
                <w:b w:val="0"/>
                <w:bCs w:val="0"/>
                <w:sz w:val="20"/>
                <w:szCs w:val="20"/>
                <w:lang w:val="en-US" w:eastAsia="zh-CN"/>
              </w:rPr>
              <w:t>delay start with UE-eNB RTT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9" w:type="dxa"/>
            <w:vMerge w:val="continue"/>
          </w:tcPr>
          <w:p>
            <w:pPr>
              <w:pStyle w:val="60"/>
              <w:spacing w:after="0"/>
              <w:rPr>
                <w:rFonts w:hint="default" w:eastAsiaTheme="minorEastAsia"/>
                <w:b w:val="0"/>
                <w:bCs w:val="0"/>
                <w:sz w:val="20"/>
                <w:szCs w:val="20"/>
                <w:vertAlign w:val="baseline"/>
                <w:lang w:val="en-US" w:eastAsia="zh-CN"/>
              </w:rPr>
            </w:pPr>
          </w:p>
        </w:tc>
        <w:tc>
          <w:tcPr>
            <w:tcW w:w="3860" w:type="dxa"/>
          </w:tcPr>
          <w:p>
            <w:pPr>
              <w:pStyle w:val="60"/>
              <w:spacing w:after="0"/>
              <w:rPr>
                <w:rFonts w:hint="default" w:eastAsiaTheme="minorEastAsia"/>
                <w:b w:val="0"/>
                <w:bCs w:val="0"/>
                <w:sz w:val="20"/>
                <w:szCs w:val="20"/>
                <w:vertAlign w:val="baseline"/>
                <w:lang w:val="en-US" w:eastAsia="zh-CN"/>
              </w:rPr>
            </w:pPr>
            <w:r>
              <w:rPr>
                <w:rFonts w:hint="eastAsia" w:eastAsiaTheme="minorEastAsia"/>
                <w:b w:val="0"/>
                <w:bCs w:val="0"/>
                <w:sz w:val="20"/>
                <w:szCs w:val="20"/>
                <w:lang w:val="en-US" w:eastAsia="zh-CN"/>
              </w:rPr>
              <w:t>pur-ResponseWindowTimer</w:t>
            </w:r>
          </w:p>
        </w:tc>
        <w:tc>
          <w:tcPr>
            <w:tcW w:w="4196" w:type="dxa"/>
          </w:tcPr>
          <w:p>
            <w:pPr>
              <w:pStyle w:val="60"/>
              <w:spacing w:after="0"/>
              <w:rPr>
                <w:rFonts w:hint="default" w:eastAsiaTheme="minorEastAsia"/>
                <w:b w:val="0"/>
                <w:bCs w:val="0"/>
                <w:sz w:val="20"/>
                <w:szCs w:val="20"/>
                <w:vertAlign w:val="baseline"/>
                <w:lang w:val="en-US" w:eastAsia="zh-CN"/>
              </w:rPr>
            </w:pPr>
            <w:r>
              <w:rPr>
                <w:rFonts w:hint="eastAsia" w:eastAsiaTheme="minorEastAsia"/>
                <w:b w:val="0"/>
                <w:bCs w:val="0"/>
                <w:sz w:val="20"/>
                <w:szCs w:val="20"/>
                <w:lang w:val="en-US" w:eastAsia="zh-CN"/>
              </w:rPr>
              <w:t>delay start with UE-eNB RTT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9" w:type="dxa"/>
            <w:vMerge w:val="continue"/>
          </w:tcPr>
          <w:p>
            <w:pPr>
              <w:pStyle w:val="60"/>
              <w:spacing w:after="0"/>
              <w:rPr>
                <w:rFonts w:hint="default" w:eastAsiaTheme="minorEastAsia"/>
                <w:b w:val="0"/>
                <w:bCs w:val="0"/>
                <w:sz w:val="20"/>
                <w:szCs w:val="20"/>
                <w:vertAlign w:val="baseline"/>
                <w:lang w:val="en-US" w:eastAsia="zh-CN"/>
              </w:rPr>
            </w:pPr>
          </w:p>
        </w:tc>
        <w:tc>
          <w:tcPr>
            <w:tcW w:w="3860" w:type="dxa"/>
          </w:tcPr>
          <w:p>
            <w:pPr>
              <w:pStyle w:val="60"/>
              <w:spacing w:after="0"/>
              <w:rPr>
                <w:rFonts w:hint="default" w:eastAsiaTheme="minorEastAsia"/>
                <w:b w:val="0"/>
                <w:bCs w:val="0"/>
                <w:sz w:val="20"/>
                <w:szCs w:val="20"/>
                <w:vertAlign w:val="baseline"/>
                <w:lang w:val="en-US" w:eastAsia="zh-CN"/>
              </w:rPr>
            </w:pPr>
            <w:r>
              <w:rPr>
                <w:rFonts w:hint="eastAsia" w:eastAsiaTheme="minorEastAsia"/>
                <w:b w:val="0"/>
                <w:bCs w:val="0"/>
                <w:sz w:val="20"/>
                <w:szCs w:val="20"/>
                <w:vertAlign w:val="baseline"/>
                <w:lang w:val="en-US" w:eastAsia="zh-CN"/>
              </w:rPr>
              <w:t xml:space="preserve">UL HARQ RTT timer </w:t>
            </w:r>
          </w:p>
        </w:tc>
        <w:tc>
          <w:tcPr>
            <w:tcW w:w="4196" w:type="dxa"/>
          </w:tcPr>
          <w:p>
            <w:pPr>
              <w:pStyle w:val="60"/>
              <w:spacing w:after="0"/>
              <w:rPr>
                <w:rFonts w:hint="default" w:eastAsiaTheme="minorEastAsia"/>
                <w:b w:val="0"/>
                <w:bCs w:val="0"/>
                <w:sz w:val="20"/>
                <w:szCs w:val="20"/>
                <w:vertAlign w:val="baseline"/>
                <w:lang w:val="en-US" w:eastAsia="zh-CN"/>
              </w:rPr>
            </w:pPr>
            <w:r>
              <w:rPr>
                <w:rFonts w:hint="eastAsia" w:eastAsiaTheme="minorEastAsia"/>
                <w:b w:val="0"/>
                <w:bCs w:val="0"/>
                <w:sz w:val="20"/>
                <w:szCs w:val="20"/>
                <w:vertAlign w:val="baseline"/>
                <w:lang w:val="en-US" w:eastAsia="zh-CN"/>
              </w:rPr>
              <w:t xml:space="preserve">Extension with </w:t>
            </w:r>
            <w:r>
              <w:rPr>
                <w:rFonts w:hint="eastAsia" w:eastAsiaTheme="minorEastAsia"/>
                <w:b w:val="0"/>
                <w:bCs w:val="0"/>
                <w:sz w:val="20"/>
                <w:szCs w:val="20"/>
                <w:lang w:val="en-US" w:eastAsia="zh-CN"/>
              </w:rPr>
              <w:t>UE-eNB RTT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9" w:type="dxa"/>
          </w:tcPr>
          <w:p>
            <w:pPr>
              <w:pStyle w:val="60"/>
              <w:spacing w:after="0"/>
              <w:rPr>
                <w:rFonts w:hint="default" w:eastAsiaTheme="minorEastAsia"/>
                <w:b w:val="0"/>
                <w:bCs w:val="0"/>
                <w:sz w:val="20"/>
                <w:szCs w:val="20"/>
                <w:vertAlign w:val="baseline"/>
                <w:lang w:val="en-US" w:eastAsia="zh-CN"/>
              </w:rPr>
            </w:pPr>
            <w:r>
              <w:rPr>
                <w:rFonts w:hint="eastAsia" w:eastAsiaTheme="minorEastAsia"/>
                <w:b w:val="0"/>
                <w:bCs w:val="0"/>
                <w:sz w:val="20"/>
                <w:szCs w:val="20"/>
                <w:vertAlign w:val="baseline"/>
                <w:lang w:val="en-US" w:eastAsia="zh-CN"/>
              </w:rPr>
              <w:t>RLC</w:t>
            </w:r>
          </w:p>
        </w:tc>
        <w:tc>
          <w:tcPr>
            <w:tcW w:w="3860" w:type="dxa"/>
          </w:tcPr>
          <w:p>
            <w:pPr>
              <w:pStyle w:val="60"/>
              <w:spacing w:after="0"/>
              <w:rPr>
                <w:rFonts w:hint="eastAsia" w:eastAsiaTheme="minorEastAsia"/>
                <w:b w:val="0"/>
                <w:bCs w:val="0"/>
                <w:sz w:val="20"/>
                <w:szCs w:val="20"/>
                <w:vertAlign w:val="baseline"/>
                <w:lang w:val="en-US" w:eastAsia="zh-CN"/>
              </w:rPr>
            </w:pPr>
            <w:r>
              <w:rPr>
                <w:rFonts w:hint="eastAsia" w:eastAsiaTheme="minorEastAsia"/>
                <w:b w:val="0"/>
                <w:bCs w:val="0"/>
                <w:sz w:val="20"/>
                <w:szCs w:val="20"/>
                <w:lang w:val="en-US" w:eastAsia="zh-CN"/>
              </w:rPr>
              <w:t>t-Reordering</w:t>
            </w:r>
          </w:p>
        </w:tc>
        <w:tc>
          <w:tcPr>
            <w:tcW w:w="4196" w:type="dxa"/>
          </w:tcPr>
          <w:p>
            <w:pPr>
              <w:pStyle w:val="60"/>
              <w:spacing w:after="0"/>
              <w:rPr>
                <w:rFonts w:hint="eastAsia" w:eastAsiaTheme="minorEastAsia"/>
                <w:b w:val="0"/>
                <w:bCs w:val="0"/>
                <w:sz w:val="20"/>
                <w:szCs w:val="20"/>
                <w:vertAlign w:val="baseline"/>
                <w:lang w:val="en-US" w:eastAsia="zh-CN"/>
              </w:rPr>
            </w:pPr>
            <w:r>
              <w:rPr>
                <w:rFonts w:hint="eastAsia" w:eastAsiaTheme="minorEastAsia"/>
                <w:b w:val="0"/>
                <w:bCs w:val="0"/>
                <w:sz w:val="20"/>
                <w:szCs w:val="20"/>
                <w:lang w:val="en-US" w:eastAsia="zh-CN"/>
              </w:rPr>
              <w:t>adding new values {ms2200, ms3200}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9" w:type="dxa"/>
          </w:tcPr>
          <w:p>
            <w:pPr>
              <w:pStyle w:val="60"/>
              <w:spacing w:after="0"/>
              <w:rPr>
                <w:rFonts w:hint="default" w:eastAsiaTheme="minorEastAsia"/>
                <w:b w:val="0"/>
                <w:bCs w:val="0"/>
                <w:sz w:val="20"/>
                <w:szCs w:val="20"/>
                <w:vertAlign w:val="baseline"/>
                <w:lang w:val="en-US" w:eastAsia="zh-CN"/>
              </w:rPr>
            </w:pPr>
            <w:r>
              <w:rPr>
                <w:rFonts w:hint="eastAsia" w:eastAsiaTheme="minorEastAsia"/>
                <w:b w:val="0"/>
                <w:bCs w:val="0"/>
                <w:sz w:val="20"/>
                <w:szCs w:val="20"/>
                <w:vertAlign w:val="baseline"/>
                <w:lang w:val="en-US" w:eastAsia="zh-CN"/>
              </w:rPr>
              <w:t>PDCP</w:t>
            </w:r>
          </w:p>
        </w:tc>
        <w:tc>
          <w:tcPr>
            <w:tcW w:w="3860" w:type="dxa"/>
          </w:tcPr>
          <w:p>
            <w:pPr>
              <w:pStyle w:val="60"/>
              <w:spacing w:after="0"/>
              <w:rPr>
                <w:rFonts w:hint="default" w:eastAsiaTheme="minorEastAsia"/>
                <w:b w:val="0"/>
                <w:bCs w:val="0"/>
                <w:sz w:val="20"/>
                <w:szCs w:val="20"/>
                <w:vertAlign w:val="baseline"/>
                <w:lang w:val="en-US" w:eastAsia="zh-CN"/>
              </w:rPr>
            </w:pPr>
            <w:r>
              <w:rPr>
                <w:rFonts w:hint="eastAsia" w:eastAsiaTheme="minorEastAsia"/>
                <w:b w:val="0"/>
                <w:bCs w:val="0"/>
                <w:sz w:val="20"/>
                <w:szCs w:val="20"/>
                <w:lang w:val="en-US" w:eastAsia="zh-CN"/>
              </w:rPr>
              <w:t>discardTimer(only for eMTC UE)</w:t>
            </w:r>
          </w:p>
        </w:tc>
        <w:tc>
          <w:tcPr>
            <w:tcW w:w="4196" w:type="dxa"/>
          </w:tcPr>
          <w:p>
            <w:pPr>
              <w:pStyle w:val="60"/>
              <w:spacing w:after="0"/>
              <w:rPr>
                <w:rFonts w:hint="eastAsia" w:eastAsiaTheme="minorEastAsia"/>
                <w:b w:val="0"/>
                <w:bCs w:val="0"/>
                <w:sz w:val="20"/>
                <w:szCs w:val="20"/>
                <w:vertAlign w:val="baseline"/>
                <w:lang w:val="en-US" w:eastAsia="zh-CN"/>
              </w:rPr>
            </w:pPr>
            <w:r>
              <w:rPr>
                <w:rFonts w:hint="eastAsia" w:eastAsiaTheme="minorEastAsia"/>
                <w:b w:val="0"/>
                <w:bCs w:val="0"/>
                <w:sz w:val="20"/>
                <w:szCs w:val="20"/>
                <w:lang w:val="en-US" w:eastAsia="zh-CN"/>
              </w:rPr>
              <w:t>adding new value ms2000</w:t>
            </w:r>
          </w:p>
        </w:tc>
      </w:tr>
    </w:tbl>
    <w:p>
      <w:pPr>
        <w:pStyle w:val="60"/>
        <w:spacing w:after="0"/>
        <w:ind w:left="0" w:firstLine="0"/>
        <w:rPr>
          <w:rFonts w:hint="default" w:eastAsiaTheme="minorEastAsia"/>
          <w:b w:val="0"/>
          <w:bCs w:val="0"/>
          <w:sz w:val="20"/>
          <w:szCs w:val="20"/>
          <w:lang w:val="en-US" w:eastAsia="zh-CN"/>
        </w:rPr>
      </w:pPr>
      <w:r>
        <w:rPr>
          <w:rFonts w:hint="eastAsia" w:eastAsiaTheme="minorEastAsia"/>
          <w:b w:val="0"/>
          <w:bCs w:val="0"/>
          <w:sz w:val="20"/>
          <w:szCs w:val="20"/>
          <w:lang w:val="en-US" w:eastAsia="zh-CN"/>
        </w:rPr>
        <w:t xml:space="preserve">To support TDD for NB-IoT NTN with </w:t>
      </w:r>
      <w:r>
        <w:t>a period of 9 radio frames for the target MSS allocated band, where D=U=8 with a fixed guard period</w:t>
      </w:r>
      <w:r>
        <w:rPr>
          <w:rFonts w:hint="eastAsia" w:eastAsiaTheme="minorEastAsia"/>
          <w:b w:val="0"/>
          <w:bCs w:val="0"/>
          <w:sz w:val="20"/>
          <w:szCs w:val="20"/>
          <w:lang w:val="en-US" w:eastAsia="zh-CN"/>
        </w:rPr>
        <w:t xml:space="preserve">, the transmission delay would be further increase due to the new TDD pattern, therefore, the windows/timers enhancements of user plane are needed to discuss. Although for PDCP discardTimer, enhancement were only made for eMTC in previous release, and the current </w:t>
      </w:r>
      <w:r>
        <w:rPr>
          <w:rFonts w:hint="eastAsia" w:eastAsia="Arial Unicode MS" w:cs="Arial"/>
          <w:bCs/>
          <w:lang w:eastAsia="zh-CN"/>
        </w:rPr>
        <w:t>maximum value</w:t>
      </w:r>
      <w:r>
        <w:rPr>
          <w:rFonts w:hint="eastAsia" w:eastAsia="Arial Unicode MS" w:cs="Arial"/>
          <w:bCs/>
          <w:lang w:val="en-US" w:eastAsia="zh-CN"/>
        </w:rPr>
        <w:t xml:space="preserve"> </w:t>
      </w:r>
      <w:r>
        <w:rPr>
          <w:rFonts w:hint="eastAsia" w:eastAsia="Arial Unicode MS" w:cs="Arial"/>
          <w:bCs/>
          <w:lang w:eastAsia="zh-CN"/>
        </w:rPr>
        <w:t>for NB-IoT</w:t>
      </w:r>
      <w:r>
        <w:rPr>
          <w:rFonts w:hint="eastAsia" w:eastAsia="Arial Unicode MS" w:cs="Arial"/>
          <w:bCs/>
          <w:lang w:val="en-US" w:eastAsia="zh-CN"/>
        </w:rPr>
        <w:t xml:space="preserve"> is </w:t>
      </w:r>
      <w:r>
        <w:rPr>
          <w:rFonts w:hint="eastAsia" w:eastAsia="Arial Unicode MS" w:cs="Arial"/>
          <w:bCs/>
          <w:lang w:eastAsia="zh-CN"/>
        </w:rPr>
        <w:t>81920ms</w:t>
      </w:r>
      <w:r>
        <w:rPr>
          <w:rFonts w:hint="eastAsia" w:eastAsia="Arial Unicode MS" w:cs="Arial"/>
          <w:bCs/>
          <w:lang w:val="en-US" w:eastAsia="zh-CN"/>
        </w:rPr>
        <w:t xml:space="preserve">, to support the new TDD pattern with a longer period would be a different story, </w:t>
      </w:r>
      <w:r>
        <w:rPr>
          <w:rFonts w:hint="eastAsia" w:eastAsiaTheme="minorEastAsia"/>
          <w:b w:val="0"/>
          <w:bCs w:val="0"/>
          <w:sz w:val="20"/>
          <w:szCs w:val="20"/>
          <w:lang w:val="en-US" w:eastAsia="zh-CN"/>
        </w:rPr>
        <w:t>PDCP discardTimer extension for NB-IoT could also be considered. Therefore, at least, the UP windows/timers mentioned above as well as HARQ RTT timer could be the starting point.</w:t>
      </w:r>
    </w:p>
    <w:p>
      <w:pPr>
        <w:pStyle w:val="60"/>
        <w:spacing w:after="0"/>
        <w:ind w:left="0" w:firstLine="0"/>
        <w:rPr>
          <w:rFonts w:hint="default" w:eastAsia="宋体"/>
          <w:b/>
          <w:bCs/>
          <w:lang w:val="en-US" w:eastAsia="zh-CN"/>
        </w:rPr>
      </w:pPr>
      <w:r>
        <w:rPr>
          <w:rFonts w:hint="eastAsia" w:eastAsia="宋体"/>
          <w:b/>
          <w:bCs/>
          <w:lang w:val="en-US" w:eastAsia="zh-CN"/>
        </w:rPr>
        <w:t>Proposal 1: Suggest RAN2 to discuss the enhancements for UP windows/timers. And a-ResponseWindow, mac-ContentionResolutionTimer, pur-ResponseWindowTimer, (UL) HARQ RTT timer, RLC t-Reordering timer, PDCP discardTimer could be the starting point.</w:t>
      </w:r>
    </w:p>
    <w:p>
      <w:pPr>
        <w:pStyle w:val="4"/>
        <w:numPr>
          <w:ilvl w:val="1"/>
          <w:numId w:val="0"/>
        </w:numPr>
        <w:bidi w:val="0"/>
        <w:ind w:left="142" w:leftChars="0"/>
        <w:rPr>
          <w:rFonts w:hint="default" w:eastAsiaTheme="minorEastAsia"/>
          <w:b w:val="0"/>
          <w:bCs w:val="0"/>
          <w:sz w:val="20"/>
          <w:szCs w:val="20"/>
          <w:lang w:val="en-US" w:eastAsia="zh-CN"/>
        </w:rPr>
      </w:pPr>
      <w:r>
        <w:rPr>
          <w:rFonts w:hint="eastAsia"/>
          <w:b/>
          <w:bCs/>
          <w:sz w:val="20"/>
          <w:szCs w:val="20"/>
          <w:lang w:val="en-US" w:eastAsia="zh-CN"/>
        </w:rPr>
        <w:t>2.1.2 HARQ</w:t>
      </w:r>
    </w:p>
    <w:p>
      <w:pPr>
        <w:pStyle w:val="60"/>
        <w:spacing w:after="0"/>
        <w:ind w:left="0" w:firstLine="0"/>
        <w:rPr>
          <w:rFonts w:hint="default" w:eastAsiaTheme="minorEastAsia"/>
          <w:b w:val="0"/>
          <w:bCs w:val="0"/>
          <w:sz w:val="20"/>
          <w:szCs w:val="20"/>
          <w:lang w:val="en-US" w:eastAsia="zh-CN"/>
        </w:rPr>
      </w:pPr>
      <w:r>
        <w:rPr>
          <w:rFonts w:hint="eastAsia" w:eastAsiaTheme="minorEastAsia"/>
          <w:b w:val="0"/>
          <w:bCs w:val="0"/>
          <w:sz w:val="20"/>
          <w:szCs w:val="20"/>
          <w:lang w:val="en-US" w:eastAsia="zh-CN"/>
        </w:rPr>
        <w:t>And for HARQ of NB-IoT NTN FDD, in R18, we supported DL HARQ feedback disabled to support long propagation delay based on network configuration. For NB-IoT NTN TDD, considering the characteristic of the new TDD structure, for one HARQ process, the interval between a new transmission and a retransmission or two retransmission would be too long. That is a feedback used to determine whether a retransmission is needed may be not important. And we could consider an solution (e.g. add related description in TS 36.300) that if the NB-IoT NTN system operates in TDD mode, the HARQ feedback is disabled as default.</w:t>
      </w:r>
    </w:p>
    <w:p>
      <w:pPr>
        <w:pStyle w:val="60"/>
        <w:spacing w:after="0"/>
        <w:ind w:left="0" w:firstLine="0"/>
        <w:rPr>
          <w:rFonts w:hint="eastAsia" w:eastAsia="宋体"/>
          <w:b/>
          <w:bCs/>
          <w:lang w:val="en-US" w:eastAsia="zh-CN"/>
        </w:rPr>
      </w:pPr>
      <w:r>
        <w:rPr>
          <w:rFonts w:hint="eastAsia" w:eastAsia="宋体"/>
          <w:b/>
          <w:bCs/>
          <w:lang w:val="en-US" w:eastAsia="zh-CN"/>
        </w:rPr>
        <w:t>Proposal 2: It is proposed that if the NB-IoT NTN system operates in TDD mode, the HARQ feedback is disabled by default, and to be simple, we could just add related description in TS 36.300.</w:t>
      </w:r>
    </w:p>
    <w:p>
      <w:pPr>
        <w:pStyle w:val="3"/>
        <w:bidi w:val="0"/>
        <w:rPr>
          <w:rFonts w:hint="default" w:eastAsiaTheme="minorEastAsia"/>
          <w:b/>
          <w:bCs/>
          <w:sz w:val="24"/>
          <w:szCs w:val="24"/>
          <w:u w:val="single"/>
          <w:lang w:val="en-US" w:eastAsia="zh-CN"/>
        </w:rPr>
      </w:pPr>
      <w:r>
        <w:rPr>
          <w:rFonts w:hint="eastAsia" w:eastAsia="宋体" w:cs="Arial"/>
          <w:b/>
          <w:bCs/>
          <w:sz w:val="24"/>
          <w:szCs w:val="24"/>
          <w:lang w:val="en-US" w:eastAsia="zh-CN"/>
        </w:rPr>
        <w:t xml:space="preserve"> Control plane impact</w:t>
      </w:r>
    </w:p>
    <w:p>
      <w:pPr>
        <w:pStyle w:val="4"/>
        <w:numPr>
          <w:ilvl w:val="1"/>
          <w:numId w:val="0"/>
        </w:numPr>
        <w:bidi w:val="0"/>
        <w:ind w:left="142" w:leftChars="0"/>
        <w:rPr>
          <w:rFonts w:hint="default"/>
          <w:b/>
          <w:bCs/>
          <w:sz w:val="20"/>
          <w:szCs w:val="20"/>
          <w:lang w:val="en-US" w:eastAsia="zh-CN"/>
        </w:rPr>
      </w:pPr>
      <w:r>
        <w:rPr>
          <w:rFonts w:hint="eastAsia"/>
          <w:b/>
          <w:bCs/>
          <w:sz w:val="20"/>
          <w:szCs w:val="20"/>
          <w:lang w:val="en-US" w:eastAsia="zh-CN"/>
        </w:rPr>
        <w:t xml:space="preserve">2.2.1 System information scheduling </w:t>
      </w:r>
    </w:p>
    <w:p>
      <w:pPr>
        <w:pStyle w:val="60"/>
        <w:spacing w:after="0"/>
        <w:ind w:left="0" w:firstLine="0"/>
        <w:rPr>
          <w:rFonts w:hint="eastAsia" w:eastAsiaTheme="minorEastAsia"/>
          <w:b w:val="0"/>
          <w:bCs w:val="0"/>
          <w:sz w:val="20"/>
          <w:szCs w:val="20"/>
          <w:lang w:val="en-US" w:eastAsia="zh-CN"/>
        </w:rPr>
      </w:pPr>
      <w:r>
        <w:rPr>
          <w:rFonts w:hint="eastAsia" w:eastAsiaTheme="minorEastAsia"/>
          <w:b w:val="0"/>
          <w:bCs w:val="0"/>
          <w:sz w:val="20"/>
          <w:szCs w:val="20"/>
          <w:lang w:val="en-US" w:eastAsia="zh-CN"/>
        </w:rPr>
        <w:t>Based on the scope, there are only 8 consecutive DL subframes in the TDD pattern, then SIB1-NB only could be transmitted at most once in one TDD pattern period, which could not even support the repetition mechanism against the poor coverage that some IoT devices deployed. Then for other SIB-NB information scheduled by SIB1-NB, the corresponding SI window may be also affected. As in the current TS 36.331, for NB-IoT UE, the related SI window determination is as following:</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4"/>
              <w:numPr>
                <w:ilvl w:val="1"/>
                <w:numId w:val="0"/>
              </w:numPr>
              <w:ind w:left="142" w:leftChars="0"/>
            </w:pPr>
            <w:bookmarkStart w:id="3" w:name="_Toc29342044"/>
            <w:bookmarkStart w:id="4" w:name="_Toc46482929"/>
            <w:bookmarkStart w:id="5" w:name="_Toc36809840"/>
            <w:bookmarkStart w:id="6" w:name="_Toc29343183"/>
            <w:bookmarkStart w:id="7" w:name="_Toc37081836"/>
            <w:bookmarkStart w:id="8" w:name="_Toc46480461"/>
            <w:bookmarkStart w:id="9" w:name="_Toc36938857"/>
            <w:bookmarkStart w:id="10" w:name="_Toc36566431"/>
            <w:bookmarkStart w:id="11" w:name="_Toc36846204"/>
            <w:bookmarkStart w:id="12" w:name="_Toc20486752"/>
            <w:bookmarkStart w:id="13" w:name="_Toc185640088"/>
            <w:bookmarkStart w:id="14" w:name="_Toc46481695"/>
            <w:r>
              <w:t>5.2.3a</w:t>
            </w:r>
            <w:r>
              <w:tab/>
            </w:r>
            <w:r>
              <w:t>Acquisition of an SI message by BL UE or UE in CE or a NB-IoT UE</w:t>
            </w:r>
            <w:bookmarkEnd w:id="3"/>
            <w:bookmarkEnd w:id="4"/>
            <w:bookmarkEnd w:id="5"/>
            <w:bookmarkEnd w:id="6"/>
            <w:bookmarkEnd w:id="7"/>
            <w:bookmarkEnd w:id="8"/>
            <w:bookmarkEnd w:id="9"/>
            <w:bookmarkEnd w:id="10"/>
            <w:bookmarkEnd w:id="11"/>
            <w:bookmarkEnd w:id="12"/>
            <w:bookmarkEnd w:id="13"/>
            <w:bookmarkEnd w:id="14"/>
          </w:p>
          <w:p>
            <w:r>
              <w:t>When acquiring an SI message, the BL UE or UE in CE or NB-IoT UE shall:</w:t>
            </w:r>
          </w:p>
          <w:p>
            <w:pPr>
              <w:pStyle w:val="60"/>
              <w:numPr>
                <w:ilvl w:val="0"/>
                <w:numId w:val="13"/>
              </w:numPr>
            </w:pPr>
            <w:r>
              <w:t>determine the start of the SI-window for the concerned SI message as follows:</w:t>
            </w:r>
          </w:p>
          <w:p>
            <w:pPr>
              <w:pStyle w:val="61"/>
            </w:pPr>
            <w:r>
              <w:t>2&gt;</w:t>
            </w:r>
            <w:r>
              <w:tab/>
            </w:r>
            <w:r>
              <w:t xml:space="preserve">if the concerned SI message is configured in the </w:t>
            </w:r>
            <w:r>
              <w:rPr>
                <w:i/>
                <w:iCs/>
              </w:rPr>
              <w:t>schedulingInfoList</w:t>
            </w:r>
            <w:r>
              <w:t xml:space="preserve">, </w:t>
            </w:r>
            <w:r>
              <w:rPr>
                <w:i/>
              </w:rPr>
              <w:t>schedulingInfoListExt</w:t>
            </w:r>
            <w:r>
              <w:t xml:space="preserve"> (if present) or if the concerned SI message is configured in the </w:t>
            </w:r>
            <w:r>
              <w:rPr>
                <w:i/>
              </w:rPr>
              <w:t>posSchedulingInfoList</w:t>
            </w:r>
            <w:r>
              <w:t xml:space="preserve"> and </w:t>
            </w:r>
            <w:r>
              <w:rPr>
                <w:i/>
                <w:iCs/>
              </w:rPr>
              <w:t>si-posOffset</w:t>
            </w:r>
            <w:r>
              <w:t xml:space="preserve"> is not configured;</w:t>
            </w:r>
          </w:p>
          <w:p>
            <w:pPr>
              <w:pStyle w:val="62"/>
            </w:pPr>
            <w:r>
              <w:t>3&gt;</w:t>
            </w:r>
            <w:r>
              <w:tab/>
            </w:r>
            <w:r>
              <w:t xml:space="preserve">for the concerned SI message, determine the number </w:t>
            </w:r>
            <w:r>
              <w:rPr>
                <w:i/>
                <w:iCs/>
              </w:rPr>
              <w:t>n</w:t>
            </w:r>
            <w:r>
              <w:t xml:space="preserve"> which corresponds to the order of entry in the concatenated list of SI messages configured by </w:t>
            </w:r>
            <w:r>
              <w:rPr>
                <w:i/>
                <w:iCs/>
              </w:rPr>
              <w:t>schedulingInfoList</w:t>
            </w:r>
            <w:r>
              <w:rPr>
                <w:iCs/>
              </w:rPr>
              <w:t xml:space="preserve">, </w:t>
            </w:r>
            <w:r>
              <w:rPr>
                <w:i/>
                <w:iCs/>
              </w:rPr>
              <w:t xml:space="preserve">schedulingInfoListExt </w:t>
            </w:r>
            <w:r>
              <w:rPr>
                <w:iCs/>
              </w:rPr>
              <w:t>(if present)</w:t>
            </w:r>
            <w:r>
              <w:t xml:space="preserve"> in </w:t>
            </w:r>
            <w:r>
              <w:rPr>
                <w:i/>
                <w:iCs/>
              </w:rPr>
              <w:t xml:space="preserve">SystemInformationBlockType1-BR </w:t>
            </w:r>
            <w:r>
              <w:t>(or</w:t>
            </w:r>
            <w:r>
              <w:rPr>
                <w:i/>
                <w:iCs/>
              </w:rPr>
              <w:t xml:space="preserve"> SystemInformationBlockType1-NB </w:t>
            </w:r>
            <w:r>
              <w:rPr>
                <w:iCs/>
              </w:rPr>
              <w:t xml:space="preserve">in NB-IoT) </w:t>
            </w:r>
            <w:r>
              <w:t xml:space="preserve">and </w:t>
            </w:r>
            <w:r>
              <w:rPr>
                <w:i/>
              </w:rPr>
              <w:t>posSchedulingInfoList</w:t>
            </w:r>
            <w:r>
              <w:t xml:space="preserve"> in </w:t>
            </w:r>
            <w:r>
              <w:rPr>
                <w:i/>
                <w:iCs/>
              </w:rPr>
              <w:t>SystemInformationBlockType1-BR</w:t>
            </w:r>
            <w:r>
              <w:t>;</w:t>
            </w:r>
          </w:p>
          <w:p>
            <w:pPr>
              <w:pStyle w:val="62"/>
            </w:pPr>
            <w:r>
              <w:t>3&gt;</w:t>
            </w:r>
            <w:r>
              <w:tab/>
            </w:r>
            <w:r>
              <w:t xml:space="preserve">determine the integer value </w:t>
            </w:r>
            <w:r>
              <w:rPr>
                <w:i/>
                <w:iCs/>
              </w:rPr>
              <w:t>x</w:t>
            </w:r>
            <w:r>
              <w:t xml:space="preserve"> = (</w:t>
            </w:r>
            <w:r>
              <w:rPr>
                <w:i/>
                <w:iCs/>
              </w:rPr>
              <w:t>n</w:t>
            </w:r>
            <w:r>
              <w:t xml:space="preserve"> – 1)*</w:t>
            </w:r>
            <w:r>
              <w:rPr>
                <w:i/>
                <w:iCs/>
              </w:rPr>
              <w:t>w</w:t>
            </w:r>
            <w:r>
              <w:t xml:space="preserve">, where </w:t>
            </w:r>
            <w:r>
              <w:rPr>
                <w:i/>
                <w:iCs/>
              </w:rPr>
              <w:t>w</w:t>
            </w:r>
            <w:r>
              <w:t xml:space="preserve"> is the </w:t>
            </w:r>
            <w:r>
              <w:rPr>
                <w:i/>
                <w:iCs/>
              </w:rPr>
              <w:t>si-WindowLength-BR</w:t>
            </w:r>
            <w:r>
              <w:rPr>
                <w:iCs/>
              </w:rPr>
              <w:t xml:space="preserve"> (or</w:t>
            </w:r>
            <w:r>
              <w:rPr>
                <w:i/>
                <w:iCs/>
              </w:rPr>
              <w:t xml:space="preserve"> si-WindowLength</w:t>
            </w:r>
            <w:r>
              <w:rPr>
                <w:iCs/>
              </w:rPr>
              <w:t xml:space="preserve"> in NB-IoT)</w:t>
            </w:r>
            <w:r>
              <w:t>;</w:t>
            </w:r>
          </w:p>
          <w:p>
            <w:pPr>
              <w:pStyle w:val="62"/>
              <w:rPr>
                <w:highlight w:val="yellow"/>
              </w:rPr>
            </w:pPr>
            <w:r>
              <w:rPr>
                <w:highlight w:val="yellow"/>
              </w:rPr>
              <w:t>3&gt;</w:t>
            </w:r>
            <w:r>
              <w:rPr>
                <w:highlight w:val="yellow"/>
              </w:rPr>
              <w:tab/>
            </w:r>
            <w:r>
              <w:rPr>
                <w:highlight w:val="yellow"/>
              </w:rPr>
              <w:t>if the UE is a NB-IoT UE:</w:t>
            </w:r>
          </w:p>
          <w:p>
            <w:pPr>
              <w:pStyle w:val="63"/>
            </w:pPr>
            <w:r>
              <w:t>4&gt;</w:t>
            </w:r>
            <w:r>
              <w:rPr>
                <w:highlight w:val="yellow"/>
              </w:rPr>
              <w:tab/>
            </w:r>
            <w:r>
              <w:rPr>
                <w:highlight w:val="yellow"/>
                <w:lang w:eastAsia="zh-CN"/>
              </w:rPr>
              <w:t xml:space="preserve">the SI-window starts at the subframe #0 in the radio frame for which (H-SFN * 1024 + SFN) mod </w:t>
            </w:r>
            <w:r>
              <w:rPr>
                <w:i/>
                <w:highlight w:val="yellow"/>
                <w:lang w:eastAsia="zh-CN"/>
              </w:rPr>
              <w:t>T</w:t>
            </w:r>
            <w:r>
              <w:rPr>
                <w:highlight w:val="yellow"/>
                <w:lang w:eastAsia="zh-CN"/>
              </w:rPr>
              <w:t xml:space="preserve"> = FLOOR(</w:t>
            </w:r>
            <w:r>
              <w:rPr>
                <w:i/>
                <w:iCs/>
                <w:highlight w:val="yellow"/>
                <w:lang w:eastAsia="zh-CN"/>
              </w:rPr>
              <w:t>x</w:t>
            </w:r>
            <w:r>
              <w:rPr>
                <w:highlight w:val="yellow"/>
                <w:lang w:eastAsia="zh-CN"/>
              </w:rPr>
              <w:t xml:space="preserve">/10) + Offset, where </w:t>
            </w:r>
            <w:r>
              <w:rPr>
                <w:i/>
                <w:highlight w:val="yellow"/>
                <w:lang w:eastAsia="zh-CN"/>
              </w:rPr>
              <w:t>T</w:t>
            </w:r>
            <w:r>
              <w:rPr>
                <w:highlight w:val="yellow"/>
                <w:lang w:eastAsia="zh-CN"/>
              </w:rPr>
              <w:t xml:space="preserve"> is the </w:t>
            </w:r>
            <w:r>
              <w:rPr>
                <w:i/>
                <w:iCs/>
                <w:highlight w:val="yellow"/>
                <w:lang w:eastAsia="zh-CN"/>
              </w:rPr>
              <w:t>si-Periodicity</w:t>
            </w:r>
            <w:r>
              <w:rPr>
                <w:highlight w:val="yellow"/>
                <w:lang w:eastAsia="zh-CN"/>
              </w:rPr>
              <w:t xml:space="preserve"> of the concerned SI message and, Offset is the offset of the start of the SI-Window (</w:t>
            </w:r>
            <w:r>
              <w:rPr>
                <w:i/>
                <w:highlight w:val="yellow"/>
                <w:lang w:eastAsia="zh-CN"/>
              </w:rPr>
              <w:t>si-RadioFrameOffset</w:t>
            </w:r>
            <w:r>
              <w:rPr>
                <w:highlight w:val="yellow"/>
                <w:lang w:eastAsia="zh-CN"/>
              </w:rPr>
              <w:t>);</w:t>
            </w:r>
          </w:p>
          <w:p>
            <w:pPr>
              <w:pStyle w:val="60"/>
              <w:numPr>
                <w:ilvl w:val="0"/>
                <w:numId w:val="0"/>
              </w:numPr>
              <w:ind w:left="284" w:leftChars="0"/>
              <w:rPr>
                <w:rFonts w:hint="default" w:eastAsiaTheme="minorEastAsia"/>
                <w:b w:val="0"/>
                <w:bCs w:val="0"/>
                <w:sz w:val="20"/>
                <w:szCs w:val="20"/>
                <w:vertAlign w:val="baseline"/>
                <w:lang w:val="en-US" w:eastAsia="zh-CN"/>
              </w:rPr>
            </w:pPr>
            <w:r>
              <w:rPr>
                <w:rFonts w:hint="eastAsia" w:eastAsia="宋体"/>
                <w:highlight w:val="lightGray"/>
                <w:lang w:val="en-US" w:eastAsia="zh-CN"/>
              </w:rPr>
              <w:t>&lt;&lt;omitted&gt;&gt;</w:t>
            </w:r>
          </w:p>
        </w:tc>
      </w:tr>
    </w:tbl>
    <w:p>
      <w:pPr>
        <w:pStyle w:val="60"/>
        <w:spacing w:after="0"/>
        <w:ind w:left="0" w:firstLine="0"/>
      </w:pPr>
    </w:p>
    <w:p>
      <w:pPr>
        <w:pStyle w:val="60"/>
        <w:spacing w:after="0"/>
        <w:ind w:left="0" w:firstLine="0"/>
        <w:rPr>
          <w:rFonts w:hint="eastAsia" w:eastAsiaTheme="minorEastAsia"/>
          <w:b w:val="0"/>
          <w:bCs w:val="0"/>
          <w:sz w:val="20"/>
          <w:szCs w:val="20"/>
          <w:lang w:val="en-US" w:eastAsia="zh-CN"/>
        </w:rPr>
      </w:pPr>
      <w:r>
        <w:drawing>
          <wp:inline distT="0" distB="0" distL="114300" distR="114300">
            <wp:extent cx="6114415" cy="440690"/>
            <wp:effectExtent l="0" t="0" r="635" b="165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6114415" cy="440690"/>
                    </a:xfrm>
                    <a:prstGeom prst="rect">
                      <a:avLst/>
                    </a:prstGeom>
                    <a:noFill/>
                    <a:ln>
                      <a:noFill/>
                    </a:ln>
                  </pic:spPr>
                </pic:pic>
              </a:graphicData>
            </a:graphic>
          </wp:inline>
        </w:drawing>
      </w:r>
    </w:p>
    <w:p>
      <w:pPr>
        <w:pStyle w:val="60"/>
        <w:spacing w:after="0"/>
        <w:ind w:left="0" w:firstLine="0"/>
        <w:rPr>
          <w:rFonts w:hint="default" w:eastAsia="宋体"/>
          <w:i w:val="0"/>
          <w:iCs w:val="0"/>
          <w:lang w:val="en-US" w:eastAsia="zh-CN"/>
        </w:rPr>
      </w:pPr>
      <w:r>
        <w:rPr>
          <w:rFonts w:hint="eastAsia" w:eastAsiaTheme="minorEastAsia"/>
          <w:b w:val="0"/>
          <w:bCs w:val="0"/>
          <w:sz w:val="20"/>
          <w:szCs w:val="20"/>
          <w:lang w:val="en-US" w:eastAsia="zh-CN"/>
        </w:rPr>
        <w:t xml:space="preserve">However, for NB-IoT TDD mode, the start calculation of SI-window needs to take the new TDD pattern into account. For example, the input parameter x affected by the </w:t>
      </w:r>
      <w:r>
        <w:rPr>
          <w:i/>
          <w:iCs/>
        </w:rPr>
        <w:t>si-WindowLength</w:t>
      </w:r>
      <w:r>
        <w:rPr>
          <w:rFonts w:hint="eastAsia" w:eastAsia="宋体"/>
          <w:i/>
          <w:iCs/>
          <w:lang w:val="en-US" w:eastAsia="zh-CN"/>
        </w:rPr>
        <w:t xml:space="preserve"> </w:t>
      </w:r>
      <w:r>
        <w:rPr>
          <w:rFonts w:hint="eastAsia" w:eastAsia="宋体"/>
          <w:i w:val="0"/>
          <w:iCs w:val="0"/>
          <w:lang w:val="en-US" w:eastAsia="zh-CN"/>
        </w:rPr>
        <w:t xml:space="preserve">whose value range may not enough for the new TDD pattern. And </w:t>
      </w:r>
      <w:r>
        <w:rPr>
          <w:rFonts w:hint="eastAsia" w:eastAsia="宋体"/>
          <w:szCs w:val="20"/>
          <w:lang w:val="en-US" w:eastAsia="zh-CN"/>
        </w:rPr>
        <w:t xml:space="preserve">based on the agreement of RAN1 #119, </w:t>
      </w:r>
      <w:r>
        <w:rPr>
          <w:szCs w:val="20"/>
        </w:rPr>
        <w:t>all downlink NB-IoT channels/signals in a cell can only use one of the downlink slots in the TDD frame structure (DL1, DL2, DL3 or DL4) across 90ms periods</w:t>
      </w:r>
      <w:r>
        <w:rPr>
          <w:rFonts w:hint="eastAsia" w:eastAsia="宋体"/>
          <w:szCs w:val="20"/>
          <w:lang w:val="en-US" w:eastAsia="zh-CN"/>
        </w:rPr>
        <w:t xml:space="preserve"> (Iridium TDMA structure is shown in figure 1), which would lead to that </w:t>
      </w:r>
      <w:r>
        <w:rPr>
          <w:rFonts w:hint="eastAsia" w:eastAsia="宋体"/>
          <w:i w:val="0"/>
          <w:iCs w:val="0"/>
          <w:lang w:val="en-US" w:eastAsia="zh-CN"/>
        </w:rPr>
        <w:t xml:space="preserve">the actual calculated subframe #0 may not be used. Therefore we need to discuss the impacts for SI acquisition based on the new TDD pattern. </w:t>
      </w:r>
    </w:p>
    <w:p>
      <w:pPr>
        <w:pStyle w:val="60"/>
        <w:spacing w:after="0"/>
        <w:ind w:left="0" w:firstLine="0"/>
        <w:jc w:val="center"/>
      </w:pPr>
      <w:r>
        <w:drawing>
          <wp:inline distT="0" distB="0" distL="0" distR="0">
            <wp:extent cx="4756150" cy="697230"/>
            <wp:effectExtent l="0" t="0" r="6350" b="7620"/>
            <wp:docPr id="1025" name="Picture 1"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Picture 1" descr="A black rectangular object with black tex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l="1900" t="4015" r="1691" b="17401"/>
                    <a:stretch>
                      <a:fillRect/>
                    </a:stretch>
                  </pic:blipFill>
                  <pic:spPr>
                    <a:xfrm>
                      <a:off x="0" y="0"/>
                      <a:ext cx="4756150" cy="697230"/>
                    </a:xfrm>
                    <a:prstGeom prst="rect">
                      <a:avLst/>
                    </a:prstGeom>
                    <a:noFill/>
                    <a:ln>
                      <a:noFill/>
                    </a:ln>
                  </pic:spPr>
                </pic:pic>
              </a:graphicData>
            </a:graphic>
          </wp:inline>
        </w:drawing>
      </w:r>
    </w:p>
    <w:p>
      <w:pPr>
        <w:pStyle w:val="60"/>
        <w:spacing w:after="0"/>
        <w:ind w:left="0" w:firstLine="0"/>
        <w:jc w:val="center"/>
        <w:rPr>
          <w:rFonts w:hint="default" w:eastAsia="宋体"/>
          <w:b/>
          <w:bCs/>
          <w:lang w:val="en-US" w:eastAsia="zh-CN"/>
        </w:rPr>
      </w:pPr>
      <w:r>
        <w:rPr>
          <w:rFonts w:hint="eastAsia" w:eastAsia="宋体"/>
          <w:b/>
          <w:bCs/>
          <w:lang w:val="en-US" w:eastAsia="zh-CN"/>
        </w:rPr>
        <w:t>Figure 1 Legacy system with TDD pattern deployed in the 1616-1626.5 MHz band</w:t>
      </w:r>
    </w:p>
    <w:p>
      <w:pPr>
        <w:pStyle w:val="60"/>
        <w:spacing w:after="0"/>
        <w:ind w:left="0" w:firstLine="0"/>
        <w:rPr>
          <w:rFonts w:hint="eastAsia" w:eastAsiaTheme="minorEastAsia"/>
          <w:b w:val="0"/>
          <w:bCs w:val="0"/>
          <w:sz w:val="20"/>
          <w:szCs w:val="20"/>
          <w:lang w:val="en-US" w:eastAsia="zh-CN"/>
        </w:rPr>
      </w:pPr>
      <w:r>
        <w:rPr>
          <w:rFonts w:hint="eastAsia" w:eastAsia="宋体"/>
          <w:b/>
          <w:bCs/>
          <w:lang w:val="en-US" w:eastAsia="zh-CN"/>
        </w:rPr>
        <w:t>Proposal 3: SI acquisition needs to consider the new TDD pattern.</w:t>
      </w:r>
    </w:p>
    <w:p>
      <w:pPr>
        <w:pStyle w:val="4"/>
        <w:numPr>
          <w:ilvl w:val="1"/>
          <w:numId w:val="0"/>
        </w:numPr>
        <w:bidi w:val="0"/>
        <w:ind w:left="142" w:leftChars="0"/>
        <w:rPr>
          <w:rFonts w:hint="default"/>
          <w:b/>
          <w:bCs/>
          <w:sz w:val="20"/>
          <w:szCs w:val="20"/>
          <w:lang w:val="en-US" w:eastAsia="zh-CN"/>
        </w:rPr>
      </w:pPr>
      <w:r>
        <w:rPr>
          <w:rFonts w:hint="eastAsia"/>
          <w:b/>
          <w:bCs/>
          <w:sz w:val="20"/>
          <w:szCs w:val="20"/>
          <w:lang w:val="en-US" w:eastAsia="zh-CN"/>
        </w:rPr>
        <w:t xml:space="preserve">2.2.2 Paging </w:t>
      </w:r>
    </w:p>
    <w:p>
      <w:r>
        <w:rPr>
          <w:rFonts w:hint="eastAsia" w:eastAsiaTheme="minorEastAsia"/>
          <w:b w:val="0"/>
          <w:bCs w:val="0"/>
          <w:sz w:val="20"/>
          <w:szCs w:val="20"/>
          <w:lang w:val="en-US" w:eastAsia="zh-CN"/>
        </w:rPr>
        <w:t xml:space="preserve">Per the existing TS 38.304, one Paging Frame (PF) is one Radio Frame, which may contain one or multiple Paging Occasion(s). PO, PF are </w:t>
      </w:r>
      <w:r>
        <w:t>determined by following formula:</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60"/>
            </w:pPr>
            <w:r>
              <w:t>PF is given by following equation:</w:t>
            </w:r>
          </w:p>
          <w:p>
            <w:pPr>
              <w:pStyle w:val="61"/>
            </w:pPr>
            <w:r>
              <w:t>SFN mod T= (T div N)*(UE_ID mod N)</w:t>
            </w:r>
          </w:p>
          <w:p>
            <w:pPr>
              <w:pStyle w:val="60"/>
            </w:pPr>
            <w:r>
              <w:t>Index i_s pointing to PO from subframe pattern defined in 7.2 will be derived from following calculation:</w:t>
            </w:r>
          </w:p>
          <w:p>
            <w:pPr>
              <w:pStyle w:val="61"/>
            </w:pPr>
            <w:r>
              <w:t>i_s = floor(UE_ID/N) mod Ns</w:t>
            </w:r>
          </w:p>
          <w:p>
            <w:pPr>
              <w:pStyle w:val="61"/>
              <w:ind w:left="0" w:leftChars="0" w:firstLine="0" w:firstLineChars="0"/>
              <w:rPr>
                <w:rFonts w:hint="eastAsia" w:eastAsia="宋体"/>
                <w:lang w:val="en-US" w:eastAsia="zh-CN"/>
              </w:rPr>
            </w:pPr>
            <w:r>
              <w:t>Parameters</w:t>
            </w:r>
            <w:r>
              <w:rPr>
                <w:rFonts w:hint="eastAsia" w:eastAsia="宋体"/>
                <w:lang w:val="en-US" w:eastAsia="zh-CN"/>
              </w:rPr>
              <w:t xml:space="preserve"> u</w:t>
            </w:r>
            <w:r>
              <w:t>sed for the calculation of the PF</w:t>
            </w:r>
            <w:r>
              <w:rPr>
                <w:lang w:eastAsia="zh-CN"/>
              </w:rPr>
              <w:t>,</w:t>
            </w:r>
            <w:r>
              <w:t xml:space="preserve"> i_s</w:t>
            </w:r>
            <w:r>
              <w:rPr>
                <w:rFonts w:hint="eastAsia" w:eastAsia="宋体"/>
                <w:lang w:val="en-US" w:eastAsia="zh-CN"/>
              </w:rPr>
              <w:t>:</w:t>
            </w:r>
          </w:p>
          <w:p>
            <w:pPr>
              <w:pStyle w:val="60"/>
              <w:rPr>
                <w:lang w:eastAsia="ko-KR"/>
              </w:rPr>
            </w:pPr>
            <w:r>
              <w:t>-</w:t>
            </w:r>
            <w:r>
              <w:tab/>
            </w:r>
            <w:r>
              <w:t xml:space="preserve">T: </w:t>
            </w:r>
            <w:r>
              <w:rPr>
                <w:lang w:eastAsia="ko-KR"/>
              </w:rPr>
              <w:t>DRX cycle of the UE.</w:t>
            </w:r>
          </w:p>
          <w:p>
            <w:pPr>
              <w:pStyle w:val="60"/>
            </w:pPr>
            <w:r>
              <w:t>-</w:t>
            </w:r>
            <w:r>
              <w:tab/>
            </w:r>
            <w:r>
              <w:t>nB: 4T, 2T, T, T/2, T/4, T/8, T/16, T/32</w:t>
            </w:r>
            <w:r>
              <w:rPr>
                <w:rFonts w:eastAsia="宋体"/>
                <w:lang w:eastAsia="zh-CN"/>
              </w:rPr>
              <w:t xml:space="preserve">, </w:t>
            </w:r>
            <w:r>
              <w:t>T/64, T/128</w:t>
            </w:r>
            <w:r>
              <w:rPr>
                <w:rFonts w:eastAsia="宋体"/>
                <w:lang w:eastAsia="zh-CN"/>
              </w:rPr>
              <w:t>,</w:t>
            </w:r>
            <w:r>
              <w:t xml:space="preserve"> and T/256, and for NB-IoT also T/512, and T/1024.</w:t>
            </w:r>
          </w:p>
          <w:p>
            <w:pPr>
              <w:pStyle w:val="60"/>
            </w:pPr>
            <w:r>
              <w:t>-</w:t>
            </w:r>
            <w:r>
              <w:tab/>
            </w:r>
            <w:r>
              <w:t>N: min(T,nB)</w:t>
            </w:r>
          </w:p>
        </w:tc>
      </w:tr>
    </w:tbl>
    <w:p>
      <w:pPr>
        <w:pStyle w:val="60"/>
        <w:spacing w:after="0"/>
        <w:ind w:left="0" w:firstLine="0"/>
        <w:rPr>
          <w:rFonts w:hint="eastAsia" w:eastAsiaTheme="minorEastAsia"/>
          <w:b w:val="0"/>
          <w:bCs w:val="0"/>
          <w:sz w:val="20"/>
          <w:szCs w:val="20"/>
          <w:lang w:val="en-US" w:eastAsia="zh-CN"/>
        </w:rPr>
      </w:pPr>
      <w:r>
        <w:rPr>
          <w:rFonts w:hint="eastAsia" w:eastAsiaTheme="minorEastAsia"/>
          <w:b w:val="0"/>
          <w:bCs w:val="0"/>
          <w:sz w:val="20"/>
          <w:szCs w:val="20"/>
          <w:lang w:val="en-US" w:eastAsia="zh-CN"/>
        </w:rPr>
        <w:t>The current subframe patterns for both NB-IoT TDD and FDD are provided as the following:</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3"/>
              <w:numPr>
                <w:ilvl w:val="1"/>
                <w:numId w:val="0"/>
              </w:numPr>
              <w:ind w:left="142" w:leftChars="0"/>
            </w:pPr>
            <w:bookmarkStart w:id="15" w:name="_Toc46499547"/>
            <w:bookmarkStart w:id="16" w:name="_Toc37235841"/>
            <w:bookmarkStart w:id="17" w:name="_Toc52492279"/>
            <w:bookmarkStart w:id="18" w:name="_Toc162956274"/>
            <w:bookmarkStart w:id="19" w:name="_Toc29237942"/>
            <w:r>
              <w:t>7.2</w:t>
            </w:r>
            <w:r>
              <w:tab/>
            </w:r>
            <w:r>
              <w:t>Subframe Patterns</w:t>
            </w:r>
            <w:bookmarkEnd w:id="15"/>
            <w:bookmarkEnd w:id="16"/>
            <w:bookmarkEnd w:id="17"/>
            <w:bookmarkEnd w:id="18"/>
            <w:bookmarkEnd w:id="19"/>
          </w:p>
          <w:p>
            <w:pPr>
              <w:rPr>
                <w:lang w:eastAsia="zh-CN"/>
              </w:rPr>
            </w:pPr>
            <w:r>
              <w:t>FDD:</w:t>
            </w:r>
          </w:p>
          <w:p>
            <w:pPr>
              <w:pStyle w:val="60"/>
            </w:pPr>
            <w:r>
              <w:rPr>
                <w:lang w:eastAsia="zh-CN"/>
              </w:rPr>
              <w:t>-</w:t>
            </w:r>
            <w:r>
              <w:rPr>
                <w:lang w:eastAsia="zh-CN"/>
              </w:rPr>
              <w:tab/>
            </w:r>
            <w:r>
              <w:rPr>
                <w:lang w:eastAsia="zh-CN"/>
              </w:rPr>
              <w:t>If P-RNTI is transmitted on PDCCH or NPDCCH, or if P-RNTI is transmitted on MPDCCH with system bandwidth &gt; 3MHz:</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0"/>
              <w:gridCol w:w="1927"/>
              <w:gridCol w:w="1927"/>
              <w:gridCol w:w="1927"/>
              <w:gridCol w:w="1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1" w:type="dxa"/>
                  <w:shd w:val="clear" w:color="auto" w:fill="auto"/>
                </w:tcPr>
                <w:p>
                  <w:pPr>
                    <w:pStyle w:val="70"/>
                  </w:pPr>
                  <w:r>
                    <w:t>Ns</w:t>
                  </w:r>
                </w:p>
              </w:tc>
              <w:tc>
                <w:tcPr>
                  <w:tcW w:w="1971" w:type="dxa"/>
                  <w:shd w:val="clear" w:color="auto" w:fill="auto"/>
                </w:tcPr>
                <w:p>
                  <w:pPr>
                    <w:pStyle w:val="70"/>
                  </w:pPr>
                  <w:r>
                    <w:t>PO when i_s=0</w:t>
                  </w:r>
                </w:p>
              </w:tc>
              <w:tc>
                <w:tcPr>
                  <w:tcW w:w="1971" w:type="dxa"/>
                  <w:shd w:val="clear" w:color="auto" w:fill="auto"/>
                </w:tcPr>
                <w:p>
                  <w:pPr>
                    <w:pStyle w:val="70"/>
                  </w:pPr>
                  <w:r>
                    <w:t>PO when i_s=1</w:t>
                  </w:r>
                </w:p>
              </w:tc>
              <w:tc>
                <w:tcPr>
                  <w:tcW w:w="1971" w:type="dxa"/>
                  <w:shd w:val="clear" w:color="auto" w:fill="auto"/>
                </w:tcPr>
                <w:p>
                  <w:pPr>
                    <w:pStyle w:val="70"/>
                  </w:pPr>
                  <w:r>
                    <w:t>PO when i_s=2</w:t>
                  </w:r>
                </w:p>
              </w:tc>
              <w:tc>
                <w:tcPr>
                  <w:tcW w:w="1971" w:type="dxa"/>
                  <w:shd w:val="clear" w:color="auto" w:fill="auto"/>
                </w:tcPr>
                <w:p>
                  <w:pPr>
                    <w:pStyle w:val="70"/>
                  </w:pPr>
                  <w:r>
                    <w:t>PO when i_s=3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1" w:type="dxa"/>
                  <w:shd w:val="clear" w:color="auto" w:fill="auto"/>
                </w:tcPr>
                <w:p>
                  <w:pPr>
                    <w:pStyle w:val="69"/>
                  </w:pPr>
                  <w:r>
                    <w:t>1</w:t>
                  </w:r>
                </w:p>
              </w:tc>
              <w:tc>
                <w:tcPr>
                  <w:tcW w:w="1971" w:type="dxa"/>
                  <w:shd w:val="clear" w:color="auto" w:fill="auto"/>
                </w:tcPr>
                <w:p>
                  <w:pPr>
                    <w:pStyle w:val="69"/>
                  </w:pPr>
                  <w:r>
                    <w:t>9</w:t>
                  </w:r>
                </w:p>
              </w:tc>
              <w:tc>
                <w:tcPr>
                  <w:tcW w:w="1971" w:type="dxa"/>
                  <w:shd w:val="clear" w:color="auto" w:fill="auto"/>
                </w:tcPr>
                <w:p>
                  <w:pPr>
                    <w:pStyle w:val="69"/>
                  </w:pPr>
                  <w:r>
                    <w:t>N/A</w:t>
                  </w:r>
                </w:p>
              </w:tc>
              <w:tc>
                <w:tcPr>
                  <w:tcW w:w="1971" w:type="dxa"/>
                  <w:shd w:val="clear" w:color="auto" w:fill="auto"/>
                </w:tcPr>
                <w:p>
                  <w:pPr>
                    <w:pStyle w:val="69"/>
                  </w:pPr>
                  <w:r>
                    <w:t>N/A</w:t>
                  </w:r>
                </w:p>
              </w:tc>
              <w:tc>
                <w:tcPr>
                  <w:tcW w:w="1971" w:type="dxa"/>
                  <w:shd w:val="clear" w:color="auto" w:fill="auto"/>
                </w:tcPr>
                <w:p>
                  <w:pPr>
                    <w:pStyle w:val="6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1" w:type="dxa"/>
                  <w:shd w:val="clear" w:color="auto" w:fill="auto"/>
                </w:tcPr>
                <w:p>
                  <w:pPr>
                    <w:pStyle w:val="69"/>
                  </w:pPr>
                  <w:r>
                    <w:t>2</w:t>
                  </w:r>
                </w:p>
              </w:tc>
              <w:tc>
                <w:tcPr>
                  <w:tcW w:w="1971" w:type="dxa"/>
                  <w:shd w:val="clear" w:color="auto" w:fill="auto"/>
                </w:tcPr>
                <w:p>
                  <w:pPr>
                    <w:pStyle w:val="69"/>
                  </w:pPr>
                  <w:r>
                    <w:t>4</w:t>
                  </w:r>
                </w:p>
              </w:tc>
              <w:tc>
                <w:tcPr>
                  <w:tcW w:w="1971" w:type="dxa"/>
                  <w:shd w:val="clear" w:color="auto" w:fill="auto"/>
                </w:tcPr>
                <w:p>
                  <w:pPr>
                    <w:pStyle w:val="69"/>
                  </w:pPr>
                  <w:r>
                    <w:t>9</w:t>
                  </w:r>
                </w:p>
              </w:tc>
              <w:tc>
                <w:tcPr>
                  <w:tcW w:w="1971" w:type="dxa"/>
                  <w:shd w:val="clear" w:color="auto" w:fill="auto"/>
                </w:tcPr>
                <w:p>
                  <w:pPr>
                    <w:pStyle w:val="69"/>
                  </w:pPr>
                  <w:r>
                    <w:t>N/A</w:t>
                  </w:r>
                </w:p>
              </w:tc>
              <w:tc>
                <w:tcPr>
                  <w:tcW w:w="1971" w:type="dxa"/>
                  <w:shd w:val="clear" w:color="auto" w:fill="auto"/>
                </w:tcPr>
                <w:p>
                  <w:pPr>
                    <w:pStyle w:val="6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1" w:type="dxa"/>
                  <w:shd w:val="clear" w:color="auto" w:fill="auto"/>
                </w:tcPr>
                <w:p>
                  <w:pPr>
                    <w:pStyle w:val="69"/>
                  </w:pPr>
                  <w:r>
                    <w:t>4</w:t>
                  </w:r>
                </w:p>
              </w:tc>
              <w:tc>
                <w:tcPr>
                  <w:tcW w:w="1971" w:type="dxa"/>
                  <w:shd w:val="clear" w:color="auto" w:fill="auto"/>
                </w:tcPr>
                <w:p>
                  <w:pPr>
                    <w:pStyle w:val="69"/>
                  </w:pPr>
                  <w:r>
                    <w:t>0</w:t>
                  </w:r>
                </w:p>
              </w:tc>
              <w:tc>
                <w:tcPr>
                  <w:tcW w:w="1971" w:type="dxa"/>
                  <w:shd w:val="clear" w:color="auto" w:fill="auto"/>
                </w:tcPr>
                <w:p>
                  <w:pPr>
                    <w:pStyle w:val="69"/>
                  </w:pPr>
                  <w:r>
                    <w:t>4</w:t>
                  </w:r>
                </w:p>
              </w:tc>
              <w:tc>
                <w:tcPr>
                  <w:tcW w:w="1971" w:type="dxa"/>
                  <w:shd w:val="clear" w:color="auto" w:fill="auto"/>
                </w:tcPr>
                <w:p>
                  <w:pPr>
                    <w:pStyle w:val="69"/>
                  </w:pPr>
                  <w:r>
                    <w:t>5</w:t>
                  </w:r>
                </w:p>
              </w:tc>
              <w:tc>
                <w:tcPr>
                  <w:tcW w:w="1971" w:type="dxa"/>
                  <w:shd w:val="clear" w:color="auto" w:fill="auto"/>
                </w:tcPr>
                <w:p>
                  <w:pPr>
                    <w:pStyle w:val="69"/>
                  </w:pPr>
                  <w:r>
                    <w:t>9</w:t>
                  </w:r>
                </w:p>
              </w:tc>
            </w:tr>
          </w:tbl>
          <w:p/>
          <w:p>
            <w:r>
              <w:t>TDD (all UL/DL configurations):</w:t>
            </w:r>
          </w:p>
          <w:p>
            <w:pPr>
              <w:pStyle w:val="60"/>
            </w:pPr>
            <w:r>
              <w:t>-</w:t>
            </w:r>
            <w:r>
              <w:tab/>
            </w:r>
            <w:r>
              <w:t>If P-RNTI is transmitted on PDCCH or NPDCCH, or if P-RNTI is transmitted on MPDCCH with system bandwidth &gt; 3MHz:</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0"/>
              <w:gridCol w:w="1927"/>
              <w:gridCol w:w="1927"/>
              <w:gridCol w:w="1927"/>
              <w:gridCol w:w="1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1" w:type="dxa"/>
                  <w:shd w:val="clear" w:color="auto" w:fill="auto"/>
                </w:tcPr>
                <w:p>
                  <w:pPr>
                    <w:pStyle w:val="70"/>
                  </w:pPr>
                  <w:r>
                    <w:t>Ns</w:t>
                  </w:r>
                </w:p>
              </w:tc>
              <w:tc>
                <w:tcPr>
                  <w:tcW w:w="1971" w:type="dxa"/>
                  <w:shd w:val="clear" w:color="auto" w:fill="auto"/>
                </w:tcPr>
                <w:p>
                  <w:pPr>
                    <w:pStyle w:val="70"/>
                  </w:pPr>
                  <w:r>
                    <w:t>PO when i_s=0</w:t>
                  </w:r>
                </w:p>
              </w:tc>
              <w:tc>
                <w:tcPr>
                  <w:tcW w:w="1971" w:type="dxa"/>
                  <w:shd w:val="clear" w:color="auto" w:fill="auto"/>
                </w:tcPr>
                <w:p>
                  <w:pPr>
                    <w:pStyle w:val="70"/>
                  </w:pPr>
                  <w:r>
                    <w:t>PO when i_s=1</w:t>
                  </w:r>
                </w:p>
              </w:tc>
              <w:tc>
                <w:tcPr>
                  <w:tcW w:w="1971" w:type="dxa"/>
                  <w:shd w:val="clear" w:color="auto" w:fill="auto"/>
                </w:tcPr>
                <w:p>
                  <w:pPr>
                    <w:pStyle w:val="70"/>
                  </w:pPr>
                  <w:r>
                    <w:t>PO when i_s=2</w:t>
                  </w:r>
                </w:p>
              </w:tc>
              <w:tc>
                <w:tcPr>
                  <w:tcW w:w="1971" w:type="dxa"/>
                  <w:shd w:val="clear" w:color="auto" w:fill="auto"/>
                </w:tcPr>
                <w:p>
                  <w:pPr>
                    <w:pStyle w:val="70"/>
                  </w:pPr>
                  <w:r>
                    <w:t>PO when i_s=3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1" w:type="dxa"/>
                  <w:shd w:val="clear" w:color="auto" w:fill="auto"/>
                </w:tcPr>
                <w:p>
                  <w:pPr>
                    <w:pStyle w:val="69"/>
                  </w:pPr>
                  <w:r>
                    <w:t>1</w:t>
                  </w:r>
                </w:p>
              </w:tc>
              <w:tc>
                <w:tcPr>
                  <w:tcW w:w="1971" w:type="dxa"/>
                  <w:shd w:val="clear" w:color="auto" w:fill="auto"/>
                </w:tcPr>
                <w:p>
                  <w:pPr>
                    <w:pStyle w:val="69"/>
                  </w:pPr>
                  <w:r>
                    <w:t>0</w:t>
                  </w:r>
                </w:p>
              </w:tc>
              <w:tc>
                <w:tcPr>
                  <w:tcW w:w="1971" w:type="dxa"/>
                  <w:shd w:val="clear" w:color="auto" w:fill="auto"/>
                </w:tcPr>
                <w:p>
                  <w:pPr>
                    <w:pStyle w:val="69"/>
                  </w:pPr>
                  <w:r>
                    <w:t>N/A</w:t>
                  </w:r>
                </w:p>
              </w:tc>
              <w:tc>
                <w:tcPr>
                  <w:tcW w:w="1971" w:type="dxa"/>
                  <w:shd w:val="clear" w:color="auto" w:fill="auto"/>
                </w:tcPr>
                <w:p>
                  <w:pPr>
                    <w:pStyle w:val="69"/>
                  </w:pPr>
                  <w:r>
                    <w:t>N/A</w:t>
                  </w:r>
                </w:p>
              </w:tc>
              <w:tc>
                <w:tcPr>
                  <w:tcW w:w="1971" w:type="dxa"/>
                  <w:shd w:val="clear" w:color="auto" w:fill="auto"/>
                </w:tcPr>
                <w:p>
                  <w:pPr>
                    <w:pStyle w:val="6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1" w:type="dxa"/>
                  <w:shd w:val="clear" w:color="auto" w:fill="auto"/>
                </w:tcPr>
                <w:p>
                  <w:pPr>
                    <w:pStyle w:val="69"/>
                  </w:pPr>
                  <w:r>
                    <w:t>2</w:t>
                  </w:r>
                </w:p>
              </w:tc>
              <w:tc>
                <w:tcPr>
                  <w:tcW w:w="1971" w:type="dxa"/>
                  <w:shd w:val="clear" w:color="auto" w:fill="auto"/>
                </w:tcPr>
                <w:p>
                  <w:pPr>
                    <w:pStyle w:val="69"/>
                  </w:pPr>
                  <w:r>
                    <w:t>0</w:t>
                  </w:r>
                </w:p>
              </w:tc>
              <w:tc>
                <w:tcPr>
                  <w:tcW w:w="1971" w:type="dxa"/>
                  <w:shd w:val="clear" w:color="auto" w:fill="auto"/>
                </w:tcPr>
                <w:p>
                  <w:pPr>
                    <w:pStyle w:val="69"/>
                  </w:pPr>
                  <w:r>
                    <w:t>5</w:t>
                  </w:r>
                </w:p>
              </w:tc>
              <w:tc>
                <w:tcPr>
                  <w:tcW w:w="1971" w:type="dxa"/>
                  <w:shd w:val="clear" w:color="auto" w:fill="auto"/>
                </w:tcPr>
                <w:p>
                  <w:pPr>
                    <w:pStyle w:val="69"/>
                  </w:pPr>
                  <w:r>
                    <w:t>N/A</w:t>
                  </w:r>
                </w:p>
              </w:tc>
              <w:tc>
                <w:tcPr>
                  <w:tcW w:w="1971" w:type="dxa"/>
                  <w:shd w:val="clear" w:color="auto" w:fill="auto"/>
                </w:tcPr>
                <w:p>
                  <w:pPr>
                    <w:pStyle w:val="6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1" w:type="dxa"/>
                  <w:shd w:val="clear" w:color="auto" w:fill="auto"/>
                </w:tcPr>
                <w:p>
                  <w:pPr>
                    <w:pStyle w:val="69"/>
                  </w:pPr>
                  <w:r>
                    <w:t>4</w:t>
                  </w:r>
                </w:p>
              </w:tc>
              <w:tc>
                <w:tcPr>
                  <w:tcW w:w="1971" w:type="dxa"/>
                  <w:shd w:val="clear" w:color="auto" w:fill="auto"/>
                </w:tcPr>
                <w:p>
                  <w:pPr>
                    <w:pStyle w:val="69"/>
                    <w:rPr>
                      <w:rFonts w:eastAsia="宋体"/>
                    </w:rPr>
                  </w:pPr>
                  <w:r>
                    <w:t>0</w:t>
                  </w:r>
                </w:p>
              </w:tc>
              <w:tc>
                <w:tcPr>
                  <w:tcW w:w="1971" w:type="dxa"/>
                  <w:shd w:val="clear" w:color="auto" w:fill="auto"/>
                </w:tcPr>
                <w:p>
                  <w:pPr>
                    <w:pStyle w:val="69"/>
                  </w:pPr>
                  <w:r>
                    <w:t>1</w:t>
                  </w:r>
                </w:p>
              </w:tc>
              <w:tc>
                <w:tcPr>
                  <w:tcW w:w="1971" w:type="dxa"/>
                  <w:shd w:val="clear" w:color="auto" w:fill="auto"/>
                </w:tcPr>
                <w:p>
                  <w:pPr>
                    <w:pStyle w:val="69"/>
                  </w:pPr>
                  <w:r>
                    <w:t>5</w:t>
                  </w:r>
                </w:p>
              </w:tc>
              <w:tc>
                <w:tcPr>
                  <w:tcW w:w="1971" w:type="dxa"/>
                  <w:shd w:val="clear" w:color="auto" w:fill="auto"/>
                </w:tcPr>
                <w:p>
                  <w:pPr>
                    <w:pStyle w:val="69"/>
                  </w:pPr>
                  <w:r>
                    <w:t>6</w:t>
                  </w:r>
                </w:p>
              </w:tc>
            </w:tr>
          </w:tbl>
          <w:p>
            <w:pPr>
              <w:pStyle w:val="60"/>
              <w:spacing w:after="0"/>
              <w:ind w:left="0" w:leftChars="0" w:firstLine="0" w:firstLineChars="0"/>
              <w:rPr>
                <w:rFonts w:hint="eastAsia" w:eastAsiaTheme="minorEastAsia"/>
                <w:b w:val="0"/>
                <w:bCs w:val="0"/>
                <w:sz w:val="20"/>
                <w:szCs w:val="20"/>
                <w:vertAlign w:val="baseline"/>
                <w:lang w:val="en-US" w:eastAsia="zh-CN"/>
              </w:rPr>
            </w:pPr>
          </w:p>
        </w:tc>
      </w:tr>
    </w:tbl>
    <w:p>
      <w:pPr>
        <w:pStyle w:val="60"/>
        <w:spacing w:after="0"/>
        <w:ind w:left="0" w:firstLine="0"/>
        <w:rPr>
          <w:rFonts w:hint="eastAsia" w:eastAsiaTheme="minorEastAsia"/>
          <w:b w:val="0"/>
          <w:bCs w:val="0"/>
          <w:sz w:val="20"/>
          <w:szCs w:val="20"/>
          <w:lang w:val="en-US" w:eastAsia="zh-CN"/>
        </w:rPr>
      </w:pPr>
      <w:r>
        <w:rPr>
          <w:rFonts w:hint="eastAsia" w:eastAsiaTheme="minorEastAsia"/>
          <w:b w:val="0"/>
          <w:bCs w:val="0"/>
          <w:sz w:val="20"/>
          <w:szCs w:val="20"/>
          <w:lang w:val="en-US" w:eastAsia="zh-CN"/>
        </w:rPr>
        <w:t xml:space="preserve">Based on the new TDD pattern, firstly the paging delay would increase obviously due to the limited DL resources. Then with N=9 and D=8, and the specific DL subframes options within D=8 discussed in RAN1, the actual PF and PO needs to be reconsidered due to the actual available DL subframes. </w:t>
      </w:r>
    </w:p>
    <w:p>
      <w:pPr>
        <w:pStyle w:val="60"/>
        <w:spacing w:after="0"/>
        <w:ind w:left="0" w:firstLine="0"/>
        <w:rPr>
          <w:rFonts w:hint="eastAsia" w:eastAsiaTheme="minorEastAsia"/>
          <w:b w:val="0"/>
          <w:bCs w:val="0"/>
          <w:sz w:val="20"/>
          <w:szCs w:val="20"/>
          <w:lang w:val="en-US" w:eastAsia="zh-CN"/>
        </w:rPr>
      </w:pPr>
      <w:r>
        <w:rPr>
          <w:rFonts w:hint="eastAsia" w:eastAsia="宋体"/>
          <w:b/>
          <w:bCs/>
          <w:lang w:val="en-US" w:eastAsia="zh-CN"/>
        </w:rPr>
        <w:t>Proposal 4: Paging enhancement (e.g. actual available PF/PO) is needed based on the new TDD pattern.</w:t>
      </w:r>
    </w:p>
    <w:p>
      <w:pPr>
        <w:pStyle w:val="4"/>
        <w:numPr>
          <w:ilvl w:val="1"/>
          <w:numId w:val="0"/>
        </w:numPr>
        <w:bidi w:val="0"/>
        <w:ind w:left="142" w:leftChars="0"/>
        <w:rPr>
          <w:rFonts w:hint="default"/>
          <w:b/>
          <w:bCs/>
          <w:sz w:val="20"/>
          <w:szCs w:val="20"/>
          <w:lang w:val="en-US" w:eastAsia="zh-CN"/>
        </w:rPr>
      </w:pPr>
      <w:r>
        <w:rPr>
          <w:rFonts w:hint="eastAsia"/>
          <w:b/>
          <w:bCs/>
          <w:sz w:val="20"/>
          <w:szCs w:val="20"/>
          <w:lang w:val="en-US" w:eastAsia="zh-CN"/>
        </w:rPr>
        <w:t>2.2.3 Measurement Gap</w:t>
      </w:r>
    </w:p>
    <w:p>
      <w:r>
        <w:rPr>
          <w:rFonts w:hint="eastAsia" w:eastAsia="宋体"/>
          <w:b w:val="0"/>
          <w:bCs w:val="0"/>
          <w:lang w:val="en-US" w:eastAsia="zh-CN"/>
        </w:rPr>
        <w:t>Based on the current TS 36.133, i</w:t>
      </w:r>
      <w:r>
        <w:t>n E-UTRA-NR dual connectivity mode, NR - E-UTRA</w:t>
      </w:r>
      <w:r>
        <w:rPr>
          <w:rFonts w:hint="eastAsia" w:eastAsia="宋体"/>
          <w:lang w:val="en-US" w:eastAsia="zh-CN"/>
        </w:rPr>
        <w:t xml:space="preserve"> </w:t>
      </w:r>
      <w:r>
        <w:t>dual connectivity mode and E-UTRA standalone mode, all gap patterns #0~11 in Table 8.1.2.1-1 can be configured  for measurements of NR carriers only, and gap pattern#0, 1, 2, 3, 4, 6, 7, 8, 10 can be configured for measurements of E-UTRA carriers with the applicability as specified in Table 8.1.2.1-1.</w:t>
      </w:r>
    </w:p>
    <w:p>
      <w:pPr>
        <w:pStyle w:val="73"/>
      </w:pPr>
      <w:r>
        <w:rPr>
          <w:snapToGrid w:val="0"/>
        </w:rPr>
        <w:t xml:space="preserve">Table 8.1.2.1-1: </w:t>
      </w:r>
      <w:r>
        <w:t>Gap Pattern Configurations supported by the UE</w:t>
      </w:r>
    </w:p>
    <w:tbl>
      <w:tblPr>
        <w:tblStyle w:val="45"/>
        <w:tblW w:w="498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1"/>
        <w:gridCol w:w="1820"/>
        <w:gridCol w:w="1777"/>
        <w:gridCol w:w="2438"/>
        <w:gridCol w:w="2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pPr>
              <w:pStyle w:val="70"/>
            </w:pPr>
            <w:r>
              <w:t>Gap Pattern Id</w:t>
            </w:r>
          </w:p>
        </w:tc>
        <w:tc>
          <w:tcPr>
            <w:tcW w:w="927" w:type="pct"/>
          </w:tcPr>
          <w:p>
            <w:pPr>
              <w:pStyle w:val="70"/>
            </w:pPr>
            <w:r>
              <w:t>MeasurementGap Length (MGL, ms)</w:t>
            </w:r>
          </w:p>
        </w:tc>
        <w:tc>
          <w:tcPr>
            <w:tcW w:w="905" w:type="pct"/>
          </w:tcPr>
          <w:p>
            <w:pPr>
              <w:pStyle w:val="70"/>
            </w:pPr>
            <w:r>
              <w:t>Measurement Gap Repetition Period</w:t>
            </w:r>
          </w:p>
          <w:p>
            <w:pPr>
              <w:pStyle w:val="70"/>
            </w:pPr>
            <w:r>
              <w:t>(MGRP, ms)</w:t>
            </w:r>
          </w:p>
        </w:tc>
        <w:tc>
          <w:tcPr>
            <w:tcW w:w="1242" w:type="pct"/>
          </w:tcPr>
          <w:p>
            <w:pPr>
              <w:pStyle w:val="70"/>
            </w:pPr>
            <w:r>
              <w:t>Minimum available time for inter-frequency and inter-RAT measurements during 480ms period</w:t>
            </w:r>
          </w:p>
          <w:p>
            <w:pPr>
              <w:pStyle w:val="70"/>
            </w:pPr>
            <w:r>
              <w:t>(Tinter1, ms)</w:t>
            </w:r>
          </w:p>
        </w:tc>
        <w:tc>
          <w:tcPr>
            <w:tcW w:w="1243" w:type="pct"/>
          </w:tcPr>
          <w:p>
            <w:pPr>
              <w:pStyle w:val="70"/>
            </w:pPr>
            <w:r>
              <w:t>Measurement Purpose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pPr>
              <w:pStyle w:val="69"/>
              <w:rPr>
                <w:snapToGrid w:val="0"/>
              </w:rPr>
            </w:pPr>
            <w:r>
              <w:rPr>
                <w:snapToGrid w:val="0"/>
              </w:rPr>
              <w:t>0</w:t>
            </w:r>
          </w:p>
        </w:tc>
        <w:tc>
          <w:tcPr>
            <w:tcW w:w="927" w:type="pct"/>
          </w:tcPr>
          <w:p>
            <w:pPr>
              <w:pStyle w:val="69"/>
              <w:rPr>
                <w:snapToGrid w:val="0"/>
              </w:rPr>
            </w:pPr>
            <w:r>
              <w:rPr>
                <w:snapToGrid w:val="0"/>
              </w:rPr>
              <w:t>6</w:t>
            </w:r>
          </w:p>
        </w:tc>
        <w:tc>
          <w:tcPr>
            <w:tcW w:w="905" w:type="pct"/>
          </w:tcPr>
          <w:p>
            <w:pPr>
              <w:pStyle w:val="69"/>
              <w:rPr>
                <w:snapToGrid w:val="0"/>
              </w:rPr>
            </w:pPr>
            <w:r>
              <w:rPr>
                <w:snapToGrid w:val="0"/>
              </w:rPr>
              <w:t>40</w:t>
            </w:r>
          </w:p>
        </w:tc>
        <w:tc>
          <w:tcPr>
            <w:tcW w:w="1242" w:type="pct"/>
          </w:tcPr>
          <w:p>
            <w:pPr>
              <w:pStyle w:val="69"/>
            </w:pPr>
            <w:r>
              <w:t>60</w:t>
            </w:r>
          </w:p>
        </w:tc>
        <w:tc>
          <w:tcPr>
            <w:tcW w:w="1243" w:type="pct"/>
          </w:tcPr>
          <w:p>
            <w:pPr>
              <w:pStyle w:val="69"/>
              <w:rPr>
                <w:snapToGrid w:val="0"/>
              </w:rPr>
            </w:pPr>
            <w:r>
              <w:t>Inter-Frequency E-UTRAN FDD and TDD, UTRAN FDD, GERAN, LCR TDD, HRPD, CDMA2000 1x, inter-RAT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pPr>
              <w:pStyle w:val="69"/>
              <w:rPr>
                <w:snapToGrid w:val="0"/>
              </w:rPr>
            </w:pPr>
            <w:r>
              <w:rPr>
                <w:snapToGrid w:val="0"/>
              </w:rPr>
              <w:t>1</w:t>
            </w:r>
          </w:p>
        </w:tc>
        <w:tc>
          <w:tcPr>
            <w:tcW w:w="927" w:type="pct"/>
          </w:tcPr>
          <w:p>
            <w:pPr>
              <w:pStyle w:val="69"/>
              <w:rPr>
                <w:snapToGrid w:val="0"/>
              </w:rPr>
            </w:pPr>
            <w:r>
              <w:rPr>
                <w:snapToGrid w:val="0"/>
              </w:rPr>
              <w:t>6</w:t>
            </w:r>
          </w:p>
        </w:tc>
        <w:tc>
          <w:tcPr>
            <w:tcW w:w="905" w:type="pct"/>
          </w:tcPr>
          <w:p>
            <w:pPr>
              <w:pStyle w:val="69"/>
              <w:rPr>
                <w:snapToGrid w:val="0"/>
              </w:rPr>
            </w:pPr>
            <w:r>
              <w:rPr>
                <w:snapToGrid w:val="0"/>
              </w:rPr>
              <w:t>80</w:t>
            </w:r>
          </w:p>
        </w:tc>
        <w:tc>
          <w:tcPr>
            <w:tcW w:w="1242" w:type="pct"/>
          </w:tcPr>
          <w:p>
            <w:pPr>
              <w:pStyle w:val="69"/>
            </w:pPr>
            <w:r>
              <w:t>30</w:t>
            </w:r>
          </w:p>
        </w:tc>
        <w:tc>
          <w:tcPr>
            <w:tcW w:w="1243" w:type="pct"/>
          </w:tcPr>
          <w:p>
            <w:pPr>
              <w:pStyle w:val="69"/>
              <w:rPr>
                <w:snapToGrid w:val="0"/>
              </w:rPr>
            </w:pPr>
            <w:r>
              <w:t>Inter-Frequency E-UTRAN FDD and TDD, UTRAN FDD, GERAN, LCR TDD, HRPD, CDMA2000 1x</w:t>
            </w:r>
            <w:r>
              <w:rPr>
                <w:rFonts w:hint="eastAsia"/>
              </w:rPr>
              <w:t>,</w:t>
            </w:r>
            <w:r>
              <w:t xml:space="preserve"> inter-RAT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pPr>
              <w:pStyle w:val="69"/>
              <w:rPr>
                <w:snapToGrid w:val="0"/>
              </w:rPr>
            </w:pPr>
            <w:r>
              <w:rPr>
                <w:snapToGrid w:val="0"/>
              </w:rPr>
              <w:t>2</w:t>
            </w:r>
          </w:p>
        </w:tc>
        <w:tc>
          <w:tcPr>
            <w:tcW w:w="927" w:type="pct"/>
          </w:tcPr>
          <w:p>
            <w:pPr>
              <w:pStyle w:val="69"/>
              <w:rPr>
                <w:snapToGrid w:val="0"/>
              </w:rPr>
            </w:pPr>
            <w:r>
              <w:rPr>
                <w:snapToGrid w:val="0"/>
              </w:rPr>
              <w:t>3</w:t>
            </w:r>
          </w:p>
        </w:tc>
        <w:tc>
          <w:tcPr>
            <w:tcW w:w="905" w:type="pct"/>
          </w:tcPr>
          <w:p>
            <w:pPr>
              <w:pStyle w:val="69"/>
              <w:rPr>
                <w:snapToGrid w:val="0"/>
              </w:rPr>
            </w:pPr>
            <w:r>
              <w:rPr>
                <w:snapToGrid w:val="0"/>
              </w:rPr>
              <w:t>40</w:t>
            </w:r>
          </w:p>
        </w:tc>
        <w:tc>
          <w:tcPr>
            <w:tcW w:w="1242" w:type="pct"/>
          </w:tcPr>
          <w:p>
            <w:pPr>
              <w:pStyle w:val="69"/>
            </w:pPr>
            <w:r>
              <w:t>24</w:t>
            </w:r>
            <w:r>
              <w:rPr>
                <w:vertAlign w:val="superscript"/>
              </w:rPr>
              <w:t>NOTE 1,2</w:t>
            </w:r>
          </w:p>
        </w:tc>
        <w:tc>
          <w:tcPr>
            <w:tcW w:w="1243" w:type="pct"/>
          </w:tcPr>
          <w:p>
            <w:pPr>
              <w:pStyle w:val="69"/>
            </w:pPr>
            <w:r>
              <w:t>Inter-Frequency E-UTRAN FDD and TDD for cells with time difference as specified below.</w:t>
            </w:r>
          </w:p>
          <w:p>
            <w:pPr>
              <w:pStyle w:val="69"/>
            </w:pPr>
            <w:r>
              <w:t>inter-RAT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pPr>
              <w:pStyle w:val="69"/>
              <w:rPr>
                <w:snapToGrid w:val="0"/>
              </w:rPr>
            </w:pPr>
            <w:r>
              <w:rPr>
                <w:snapToGrid w:val="0"/>
              </w:rPr>
              <w:t>3</w:t>
            </w:r>
          </w:p>
        </w:tc>
        <w:tc>
          <w:tcPr>
            <w:tcW w:w="927" w:type="pct"/>
          </w:tcPr>
          <w:p>
            <w:pPr>
              <w:pStyle w:val="69"/>
              <w:rPr>
                <w:snapToGrid w:val="0"/>
              </w:rPr>
            </w:pPr>
            <w:r>
              <w:rPr>
                <w:snapToGrid w:val="0"/>
              </w:rPr>
              <w:t>3</w:t>
            </w:r>
          </w:p>
        </w:tc>
        <w:tc>
          <w:tcPr>
            <w:tcW w:w="905" w:type="pct"/>
          </w:tcPr>
          <w:p>
            <w:pPr>
              <w:pStyle w:val="69"/>
              <w:rPr>
                <w:snapToGrid w:val="0"/>
              </w:rPr>
            </w:pPr>
            <w:r>
              <w:rPr>
                <w:snapToGrid w:val="0"/>
              </w:rPr>
              <w:t>80</w:t>
            </w:r>
          </w:p>
        </w:tc>
        <w:tc>
          <w:tcPr>
            <w:tcW w:w="1242" w:type="pct"/>
          </w:tcPr>
          <w:p>
            <w:pPr>
              <w:pStyle w:val="69"/>
            </w:pPr>
            <w:r>
              <w:t>12</w:t>
            </w:r>
            <w:r>
              <w:rPr>
                <w:vertAlign w:val="superscript"/>
              </w:rPr>
              <w:t>NOTE 1,2</w:t>
            </w:r>
          </w:p>
        </w:tc>
        <w:tc>
          <w:tcPr>
            <w:tcW w:w="1243" w:type="pct"/>
          </w:tcPr>
          <w:p>
            <w:pPr>
              <w:pStyle w:val="69"/>
            </w:pPr>
            <w:r>
              <w:t>Inter-Frequency E-UTRAN FDD and TDD for cells with time difference according as specified below.</w:t>
            </w:r>
          </w:p>
          <w:p>
            <w:pPr>
              <w:pStyle w:val="69"/>
            </w:pPr>
            <w:r>
              <w:t>inter-RAT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pPr>
              <w:pStyle w:val="69"/>
              <w:rPr>
                <w:snapToGrid w:val="0"/>
              </w:rPr>
            </w:pPr>
            <w:r>
              <w:rPr>
                <w:rFonts w:cs="Arial"/>
                <w:snapToGrid w:val="0"/>
                <w:lang w:eastAsia="ko-KR"/>
              </w:rPr>
              <w:t>4</w:t>
            </w:r>
          </w:p>
        </w:tc>
        <w:tc>
          <w:tcPr>
            <w:tcW w:w="927" w:type="pct"/>
          </w:tcPr>
          <w:p>
            <w:pPr>
              <w:pStyle w:val="69"/>
              <w:rPr>
                <w:snapToGrid w:val="0"/>
              </w:rPr>
            </w:pPr>
            <w:r>
              <w:rPr>
                <w:rFonts w:cs="Arial"/>
                <w:snapToGrid w:val="0"/>
                <w:lang w:eastAsia="ko-KR"/>
              </w:rPr>
              <w:t>6</w:t>
            </w:r>
          </w:p>
        </w:tc>
        <w:tc>
          <w:tcPr>
            <w:tcW w:w="905" w:type="pct"/>
          </w:tcPr>
          <w:p>
            <w:pPr>
              <w:pStyle w:val="69"/>
              <w:rPr>
                <w:snapToGrid w:val="0"/>
              </w:rPr>
            </w:pPr>
            <w:r>
              <w:rPr>
                <w:rFonts w:cs="Arial"/>
                <w:snapToGrid w:val="0"/>
                <w:lang w:eastAsia="ko-KR"/>
              </w:rPr>
              <w:t>20</w:t>
            </w:r>
          </w:p>
        </w:tc>
        <w:tc>
          <w:tcPr>
            <w:tcW w:w="1242" w:type="pct"/>
          </w:tcPr>
          <w:p>
            <w:pPr>
              <w:pStyle w:val="69"/>
              <w:rPr>
                <w:rFonts w:eastAsia="Malgun Gothic"/>
              </w:rPr>
            </w:pPr>
            <w:r>
              <w:rPr>
                <w:rFonts w:cs="Arial"/>
                <w:lang w:eastAsia="ko-KR"/>
              </w:rPr>
              <w:t>120</w:t>
            </w:r>
            <w:r>
              <w:rPr>
                <w:rFonts w:cs="Arial"/>
                <w:vertAlign w:val="superscript"/>
                <w:lang w:eastAsia="ko-KR"/>
              </w:rPr>
              <w:t xml:space="preserve"> Note </w:t>
            </w:r>
            <w:r>
              <w:rPr>
                <w:rFonts w:eastAsia="宋体" w:cs="Arial"/>
                <w:vertAlign w:val="superscript"/>
              </w:rPr>
              <w:t>1</w:t>
            </w:r>
          </w:p>
        </w:tc>
        <w:tc>
          <w:tcPr>
            <w:tcW w:w="1243" w:type="pct"/>
          </w:tcPr>
          <w:p>
            <w:pPr>
              <w:pStyle w:val="69"/>
            </w:pPr>
            <w:r>
              <w:rPr>
                <w:rFonts w:cs="Arial"/>
              </w:rPr>
              <w:t>inter-RAT NR</w:t>
            </w:r>
            <w:bookmarkStart w:id="20" w:name="OLE_LINK22"/>
            <w:r>
              <w:rPr>
                <w:rFonts w:cs="Arial"/>
                <w:sz w:val="20"/>
                <w:lang w:eastAsia="ko-KR"/>
              </w:rPr>
              <w:t xml:space="preserve">, </w:t>
            </w:r>
            <w:bookmarkEnd w:id="20"/>
            <w:r>
              <w:rPr>
                <w:rFonts w:cs="Arial"/>
                <w:lang w:eastAsia="ko-KR"/>
              </w:rPr>
              <w:t>Inter-Frequency E-UTRAN FDD and TDD</w:t>
            </w:r>
            <w:r>
              <w:rPr>
                <w:rFonts w:cs="Arial"/>
                <w:vertAlign w:val="superscript"/>
                <w:lang w:eastAsia="ko-KR"/>
              </w:rPr>
              <w:t xml:space="preserve"> Note</w:t>
            </w:r>
            <w:r>
              <w:rPr>
                <w:rFonts w:eastAsia="宋体" w:cs="Arial"/>
                <w:vertAlign w:val="superscript"/>
              </w:rPr>
              <w:t xml:space="preserv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pPr>
              <w:pStyle w:val="69"/>
              <w:rPr>
                <w:snapToGrid w:val="0"/>
              </w:rPr>
            </w:pPr>
            <w:r>
              <w:rPr>
                <w:rFonts w:cs="Arial"/>
                <w:snapToGrid w:val="0"/>
                <w:lang w:eastAsia="ko-KR"/>
              </w:rPr>
              <w:t>5</w:t>
            </w:r>
          </w:p>
        </w:tc>
        <w:tc>
          <w:tcPr>
            <w:tcW w:w="927" w:type="pct"/>
          </w:tcPr>
          <w:p>
            <w:pPr>
              <w:pStyle w:val="69"/>
              <w:rPr>
                <w:snapToGrid w:val="0"/>
              </w:rPr>
            </w:pPr>
            <w:r>
              <w:rPr>
                <w:snapToGrid w:val="0"/>
              </w:rPr>
              <w:t>6</w:t>
            </w:r>
          </w:p>
        </w:tc>
        <w:tc>
          <w:tcPr>
            <w:tcW w:w="905" w:type="pct"/>
          </w:tcPr>
          <w:p>
            <w:pPr>
              <w:pStyle w:val="69"/>
              <w:rPr>
                <w:snapToGrid w:val="0"/>
              </w:rPr>
            </w:pPr>
            <w:r>
              <w:rPr>
                <w:snapToGrid w:val="0"/>
              </w:rPr>
              <w:t>160</w:t>
            </w:r>
          </w:p>
        </w:tc>
        <w:tc>
          <w:tcPr>
            <w:tcW w:w="1242" w:type="pct"/>
          </w:tcPr>
          <w:p>
            <w:pPr>
              <w:pStyle w:val="69"/>
            </w:pPr>
            <w:r>
              <w:rPr>
                <w:rFonts w:hint="eastAsia"/>
              </w:rPr>
              <w:t>Note 3</w:t>
            </w:r>
          </w:p>
        </w:tc>
        <w:tc>
          <w:tcPr>
            <w:tcW w:w="1243" w:type="pct"/>
          </w:tcPr>
          <w:p>
            <w:pPr>
              <w:pStyle w:val="69"/>
            </w:pPr>
            <w:r>
              <w:t>inter-RAT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pPr>
              <w:pStyle w:val="69"/>
              <w:rPr>
                <w:snapToGrid w:val="0"/>
              </w:rPr>
            </w:pPr>
            <w:r>
              <w:rPr>
                <w:rFonts w:cs="Arial"/>
                <w:snapToGrid w:val="0"/>
                <w:lang w:eastAsia="ko-KR"/>
              </w:rPr>
              <w:t>6</w:t>
            </w:r>
          </w:p>
        </w:tc>
        <w:tc>
          <w:tcPr>
            <w:tcW w:w="927" w:type="pct"/>
          </w:tcPr>
          <w:p>
            <w:pPr>
              <w:pStyle w:val="69"/>
              <w:rPr>
                <w:snapToGrid w:val="0"/>
              </w:rPr>
            </w:pPr>
            <w:r>
              <w:rPr>
                <w:rFonts w:cs="Arial"/>
                <w:snapToGrid w:val="0"/>
                <w:lang w:eastAsia="ko-KR"/>
              </w:rPr>
              <w:t>4</w:t>
            </w:r>
          </w:p>
        </w:tc>
        <w:tc>
          <w:tcPr>
            <w:tcW w:w="905" w:type="pct"/>
          </w:tcPr>
          <w:p>
            <w:pPr>
              <w:pStyle w:val="69"/>
              <w:rPr>
                <w:snapToGrid w:val="0"/>
              </w:rPr>
            </w:pPr>
            <w:r>
              <w:rPr>
                <w:rFonts w:cs="Arial"/>
                <w:snapToGrid w:val="0"/>
                <w:lang w:eastAsia="ko-KR"/>
              </w:rPr>
              <w:t>20</w:t>
            </w:r>
          </w:p>
        </w:tc>
        <w:tc>
          <w:tcPr>
            <w:tcW w:w="1242" w:type="pct"/>
          </w:tcPr>
          <w:p>
            <w:pPr>
              <w:pStyle w:val="69"/>
              <w:rPr>
                <w:rFonts w:eastAsia="Malgun Gothic"/>
              </w:rPr>
            </w:pPr>
            <w:r>
              <w:rPr>
                <w:rFonts w:hint="eastAsia"/>
              </w:rPr>
              <w:t>72</w:t>
            </w:r>
            <w:r>
              <w:rPr>
                <w:vertAlign w:val="superscript"/>
              </w:rPr>
              <w:t xml:space="preserve"> Note</w:t>
            </w:r>
            <w:r>
              <w:rPr>
                <w:rFonts w:hint="eastAsia" w:eastAsia="宋体"/>
                <w:vertAlign w:val="superscript"/>
              </w:rPr>
              <w:t xml:space="preserve"> 1, 5</w:t>
            </w:r>
            <w:r>
              <w:rPr>
                <w:rFonts w:eastAsia="宋体"/>
                <w:vertAlign w:val="superscript"/>
              </w:rPr>
              <w:t>, 7</w:t>
            </w:r>
          </w:p>
        </w:tc>
        <w:tc>
          <w:tcPr>
            <w:tcW w:w="1243" w:type="pct"/>
          </w:tcPr>
          <w:p>
            <w:pPr>
              <w:pStyle w:val="69"/>
            </w:pPr>
            <w:r>
              <w:t>inter-RAT NR</w:t>
            </w:r>
            <w:r>
              <w:rPr>
                <w:rFonts w:hint="eastAsia" w:ascii="Times New Roman" w:hAnsi="Times New Roman"/>
                <w:sz w:val="20"/>
              </w:rPr>
              <w:t xml:space="preserve">, </w:t>
            </w:r>
            <w:r>
              <w:t>Inter-Frequency E-UTRAN FDD and TDD</w:t>
            </w:r>
            <w:r>
              <w:rPr>
                <w:vertAlign w:val="superscript"/>
              </w:rPr>
              <w:t xml:space="preserve"> Note</w:t>
            </w:r>
            <w:r>
              <w:rPr>
                <w:rFonts w:eastAsia="宋体"/>
                <w:vertAlign w:val="superscript"/>
              </w:rPr>
              <w:t xml:space="preserv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pPr>
              <w:pStyle w:val="69"/>
              <w:rPr>
                <w:snapToGrid w:val="0"/>
              </w:rPr>
            </w:pPr>
            <w:r>
              <w:rPr>
                <w:rFonts w:cs="Arial"/>
                <w:snapToGrid w:val="0"/>
                <w:lang w:eastAsia="ko-KR"/>
              </w:rPr>
              <w:t>7</w:t>
            </w:r>
          </w:p>
        </w:tc>
        <w:tc>
          <w:tcPr>
            <w:tcW w:w="927" w:type="pct"/>
          </w:tcPr>
          <w:p>
            <w:pPr>
              <w:pStyle w:val="69"/>
              <w:rPr>
                <w:snapToGrid w:val="0"/>
              </w:rPr>
            </w:pPr>
            <w:r>
              <w:rPr>
                <w:snapToGrid w:val="0"/>
              </w:rPr>
              <w:t>4</w:t>
            </w:r>
          </w:p>
        </w:tc>
        <w:tc>
          <w:tcPr>
            <w:tcW w:w="905" w:type="pct"/>
          </w:tcPr>
          <w:p>
            <w:pPr>
              <w:pStyle w:val="69"/>
              <w:rPr>
                <w:snapToGrid w:val="0"/>
              </w:rPr>
            </w:pPr>
            <w:r>
              <w:rPr>
                <w:snapToGrid w:val="0"/>
              </w:rPr>
              <w:t>40</w:t>
            </w:r>
          </w:p>
        </w:tc>
        <w:tc>
          <w:tcPr>
            <w:tcW w:w="1242" w:type="pct"/>
          </w:tcPr>
          <w:p>
            <w:pPr>
              <w:pStyle w:val="69"/>
              <w:rPr>
                <w:rFonts w:eastAsia="Malgun Gothic"/>
              </w:rPr>
            </w:pPr>
            <w:r>
              <w:rPr>
                <w:rFonts w:hint="eastAsia"/>
              </w:rPr>
              <w:t>36</w:t>
            </w:r>
            <w:r>
              <w:rPr>
                <w:vertAlign w:val="superscript"/>
              </w:rPr>
              <w:t xml:space="preserve"> Note </w:t>
            </w:r>
            <w:r>
              <w:rPr>
                <w:rFonts w:hint="eastAsia" w:eastAsia="宋体"/>
                <w:vertAlign w:val="superscript"/>
              </w:rPr>
              <w:t>1, 5</w:t>
            </w:r>
            <w:r>
              <w:rPr>
                <w:rFonts w:eastAsia="宋体"/>
                <w:vertAlign w:val="superscript"/>
              </w:rPr>
              <w:t>, 8</w:t>
            </w:r>
          </w:p>
        </w:tc>
        <w:tc>
          <w:tcPr>
            <w:tcW w:w="1243" w:type="pct"/>
          </w:tcPr>
          <w:p>
            <w:pPr>
              <w:pStyle w:val="69"/>
            </w:pPr>
            <w:r>
              <w:t>inter-RAT NR</w:t>
            </w:r>
            <w:r>
              <w:rPr>
                <w:rFonts w:hint="eastAsia" w:ascii="Times New Roman" w:hAnsi="Times New Roman"/>
                <w:sz w:val="20"/>
              </w:rPr>
              <w:t xml:space="preserve">, </w:t>
            </w:r>
            <w:r>
              <w:t>Inter-Frequency E-UTRAN FDD and TDD</w:t>
            </w:r>
            <w:r>
              <w:rPr>
                <w:vertAlign w:val="superscript"/>
              </w:rPr>
              <w:t xml:space="preserve"> Note</w:t>
            </w:r>
            <w:r>
              <w:rPr>
                <w:rFonts w:eastAsia="宋体"/>
                <w:vertAlign w:val="superscript"/>
              </w:rPr>
              <w:t xml:space="preserv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pPr>
              <w:pStyle w:val="69"/>
              <w:rPr>
                <w:snapToGrid w:val="0"/>
              </w:rPr>
            </w:pPr>
            <w:r>
              <w:rPr>
                <w:rFonts w:cs="Arial"/>
                <w:snapToGrid w:val="0"/>
                <w:lang w:eastAsia="ko-KR"/>
              </w:rPr>
              <w:t>8</w:t>
            </w:r>
          </w:p>
        </w:tc>
        <w:tc>
          <w:tcPr>
            <w:tcW w:w="927" w:type="pct"/>
          </w:tcPr>
          <w:p>
            <w:pPr>
              <w:pStyle w:val="69"/>
              <w:rPr>
                <w:snapToGrid w:val="0"/>
              </w:rPr>
            </w:pPr>
            <w:r>
              <w:rPr>
                <w:snapToGrid w:val="0"/>
              </w:rPr>
              <w:t>4</w:t>
            </w:r>
          </w:p>
        </w:tc>
        <w:tc>
          <w:tcPr>
            <w:tcW w:w="905" w:type="pct"/>
          </w:tcPr>
          <w:p>
            <w:pPr>
              <w:pStyle w:val="69"/>
              <w:rPr>
                <w:snapToGrid w:val="0"/>
              </w:rPr>
            </w:pPr>
            <w:r>
              <w:rPr>
                <w:snapToGrid w:val="0"/>
              </w:rPr>
              <w:t>80</w:t>
            </w:r>
          </w:p>
        </w:tc>
        <w:tc>
          <w:tcPr>
            <w:tcW w:w="1242" w:type="pct"/>
          </w:tcPr>
          <w:p>
            <w:pPr>
              <w:pStyle w:val="69"/>
              <w:rPr>
                <w:rFonts w:eastAsia="Malgun Gothic"/>
              </w:rPr>
            </w:pPr>
            <w:r>
              <w:rPr>
                <w:rFonts w:hint="eastAsia"/>
              </w:rPr>
              <w:t>18</w:t>
            </w:r>
            <w:r>
              <w:rPr>
                <w:vertAlign w:val="superscript"/>
              </w:rPr>
              <w:t xml:space="preserve">Note </w:t>
            </w:r>
            <w:r>
              <w:rPr>
                <w:rFonts w:hint="eastAsia" w:eastAsia="宋体"/>
                <w:vertAlign w:val="superscript"/>
              </w:rPr>
              <w:t>1, 5</w:t>
            </w:r>
            <w:r>
              <w:rPr>
                <w:rFonts w:eastAsia="宋体"/>
                <w:vertAlign w:val="superscript"/>
              </w:rPr>
              <w:t>, 9</w:t>
            </w:r>
          </w:p>
        </w:tc>
        <w:tc>
          <w:tcPr>
            <w:tcW w:w="1243" w:type="pct"/>
          </w:tcPr>
          <w:p>
            <w:pPr>
              <w:pStyle w:val="69"/>
            </w:pPr>
            <w:r>
              <w:t>inter-RAT NR</w:t>
            </w:r>
            <w:r>
              <w:rPr>
                <w:rFonts w:hint="eastAsia" w:ascii="Times New Roman" w:hAnsi="Times New Roman"/>
                <w:sz w:val="20"/>
              </w:rPr>
              <w:t>,</w:t>
            </w:r>
            <w:r>
              <w:rPr>
                <w:rFonts w:ascii="Times New Roman" w:hAnsi="Times New Roman"/>
                <w:sz w:val="20"/>
              </w:rPr>
              <w:t xml:space="preserve"> </w:t>
            </w:r>
            <w:r>
              <w:t>Inter-Frequency E-UTRAN FDD and TDD</w:t>
            </w:r>
            <w:r>
              <w:rPr>
                <w:vertAlign w:val="superscript"/>
              </w:rPr>
              <w:t xml:space="preserve"> Note</w:t>
            </w:r>
            <w:r>
              <w:rPr>
                <w:rFonts w:eastAsia="宋体"/>
                <w:vertAlign w:val="superscript"/>
              </w:rPr>
              <w:t xml:space="preserv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pPr>
              <w:pStyle w:val="69"/>
              <w:rPr>
                <w:snapToGrid w:val="0"/>
              </w:rPr>
            </w:pPr>
            <w:r>
              <w:rPr>
                <w:rFonts w:cs="Arial"/>
                <w:snapToGrid w:val="0"/>
                <w:lang w:eastAsia="ko-KR"/>
              </w:rPr>
              <w:t>9</w:t>
            </w:r>
          </w:p>
        </w:tc>
        <w:tc>
          <w:tcPr>
            <w:tcW w:w="927" w:type="pct"/>
          </w:tcPr>
          <w:p>
            <w:pPr>
              <w:pStyle w:val="69"/>
              <w:rPr>
                <w:snapToGrid w:val="0"/>
              </w:rPr>
            </w:pPr>
            <w:r>
              <w:rPr>
                <w:rFonts w:cs="Arial"/>
                <w:snapToGrid w:val="0"/>
                <w:lang w:eastAsia="ko-KR"/>
              </w:rPr>
              <w:t>4</w:t>
            </w:r>
          </w:p>
        </w:tc>
        <w:tc>
          <w:tcPr>
            <w:tcW w:w="905" w:type="pct"/>
          </w:tcPr>
          <w:p>
            <w:pPr>
              <w:pStyle w:val="69"/>
              <w:rPr>
                <w:snapToGrid w:val="0"/>
              </w:rPr>
            </w:pPr>
            <w:r>
              <w:rPr>
                <w:rFonts w:cs="Arial"/>
                <w:snapToGrid w:val="0"/>
                <w:lang w:eastAsia="ko-KR"/>
              </w:rPr>
              <w:t>160</w:t>
            </w:r>
          </w:p>
        </w:tc>
        <w:tc>
          <w:tcPr>
            <w:tcW w:w="1242" w:type="pct"/>
          </w:tcPr>
          <w:p>
            <w:pPr>
              <w:pStyle w:val="69"/>
            </w:pPr>
            <w:r>
              <w:rPr>
                <w:rFonts w:hint="eastAsia"/>
              </w:rPr>
              <w:t>Note 3</w:t>
            </w:r>
          </w:p>
        </w:tc>
        <w:tc>
          <w:tcPr>
            <w:tcW w:w="1243" w:type="pct"/>
          </w:tcPr>
          <w:p>
            <w:pPr>
              <w:pStyle w:val="69"/>
            </w:pPr>
            <w:r>
              <w:t>inter-RAT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pPr>
              <w:pStyle w:val="69"/>
              <w:rPr>
                <w:snapToGrid w:val="0"/>
              </w:rPr>
            </w:pPr>
            <w:r>
              <w:rPr>
                <w:rFonts w:cs="Arial"/>
                <w:snapToGrid w:val="0"/>
                <w:lang w:eastAsia="ko-KR"/>
              </w:rPr>
              <w:t>10</w:t>
            </w:r>
          </w:p>
        </w:tc>
        <w:tc>
          <w:tcPr>
            <w:tcW w:w="927" w:type="pct"/>
          </w:tcPr>
          <w:p>
            <w:pPr>
              <w:pStyle w:val="69"/>
              <w:rPr>
                <w:snapToGrid w:val="0"/>
              </w:rPr>
            </w:pPr>
            <w:r>
              <w:rPr>
                <w:snapToGrid w:val="0"/>
              </w:rPr>
              <w:t>3</w:t>
            </w:r>
          </w:p>
        </w:tc>
        <w:tc>
          <w:tcPr>
            <w:tcW w:w="905" w:type="pct"/>
          </w:tcPr>
          <w:p>
            <w:pPr>
              <w:pStyle w:val="69"/>
              <w:rPr>
                <w:snapToGrid w:val="0"/>
              </w:rPr>
            </w:pPr>
            <w:r>
              <w:rPr>
                <w:snapToGrid w:val="0"/>
              </w:rPr>
              <w:t>20</w:t>
            </w:r>
          </w:p>
        </w:tc>
        <w:tc>
          <w:tcPr>
            <w:tcW w:w="1242" w:type="pct"/>
          </w:tcPr>
          <w:p>
            <w:pPr>
              <w:pStyle w:val="69"/>
              <w:rPr>
                <w:rFonts w:eastAsia="Malgun Gothic"/>
              </w:rPr>
            </w:pPr>
            <w:r>
              <w:rPr>
                <w:rFonts w:hint="eastAsia"/>
              </w:rPr>
              <w:t>48</w:t>
            </w:r>
            <w:r>
              <w:rPr>
                <w:vertAlign w:val="superscript"/>
              </w:rPr>
              <w:t xml:space="preserve"> Note </w:t>
            </w:r>
            <w:r>
              <w:rPr>
                <w:rFonts w:hint="eastAsia" w:eastAsia="宋体"/>
                <w:vertAlign w:val="superscript"/>
              </w:rPr>
              <w:t>1, 5</w:t>
            </w:r>
          </w:p>
        </w:tc>
        <w:tc>
          <w:tcPr>
            <w:tcW w:w="1243" w:type="pct"/>
          </w:tcPr>
          <w:p>
            <w:pPr>
              <w:pStyle w:val="69"/>
            </w:pPr>
            <w:r>
              <w:t>inter-RAT NR</w:t>
            </w:r>
            <w:r>
              <w:rPr>
                <w:rFonts w:hint="eastAsia" w:ascii="Times New Roman" w:hAnsi="Times New Roman"/>
                <w:sz w:val="20"/>
              </w:rPr>
              <w:t xml:space="preserve">, </w:t>
            </w:r>
            <w:r>
              <w:t>Inter-Frequency E-UTRAN FDD and TDD</w:t>
            </w:r>
            <w:r>
              <w:rPr>
                <w:vertAlign w:val="superscript"/>
              </w:rPr>
              <w:t xml:space="preserve"> Note</w:t>
            </w:r>
            <w:r>
              <w:rPr>
                <w:rFonts w:eastAsia="宋体"/>
                <w:vertAlign w:val="superscript"/>
              </w:rPr>
              <w:t xml:space="preserv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pPr>
              <w:pStyle w:val="69"/>
              <w:rPr>
                <w:snapToGrid w:val="0"/>
              </w:rPr>
            </w:pPr>
            <w:r>
              <w:rPr>
                <w:rFonts w:cs="Arial"/>
                <w:snapToGrid w:val="0"/>
                <w:lang w:eastAsia="ko-KR"/>
              </w:rPr>
              <w:t>11</w:t>
            </w:r>
          </w:p>
        </w:tc>
        <w:tc>
          <w:tcPr>
            <w:tcW w:w="927" w:type="pct"/>
          </w:tcPr>
          <w:p>
            <w:pPr>
              <w:pStyle w:val="69"/>
              <w:rPr>
                <w:snapToGrid w:val="0"/>
              </w:rPr>
            </w:pPr>
            <w:r>
              <w:rPr>
                <w:snapToGrid w:val="0"/>
              </w:rPr>
              <w:t>3</w:t>
            </w:r>
          </w:p>
        </w:tc>
        <w:tc>
          <w:tcPr>
            <w:tcW w:w="905" w:type="pct"/>
          </w:tcPr>
          <w:p>
            <w:pPr>
              <w:pStyle w:val="69"/>
              <w:rPr>
                <w:snapToGrid w:val="0"/>
              </w:rPr>
            </w:pPr>
            <w:r>
              <w:rPr>
                <w:snapToGrid w:val="0"/>
              </w:rPr>
              <w:t>160</w:t>
            </w:r>
          </w:p>
        </w:tc>
        <w:tc>
          <w:tcPr>
            <w:tcW w:w="1242" w:type="pct"/>
          </w:tcPr>
          <w:p>
            <w:pPr>
              <w:pStyle w:val="69"/>
            </w:pPr>
            <w:r>
              <w:rPr>
                <w:rFonts w:hint="eastAsia"/>
              </w:rPr>
              <w:t>Note 3</w:t>
            </w:r>
          </w:p>
        </w:tc>
        <w:tc>
          <w:tcPr>
            <w:tcW w:w="1243" w:type="pct"/>
          </w:tcPr>
          <w:p>
            <w:pPr>
              <w:pStyle w:val="69"/>
            </w:pPr>
            <w:r>
              <w:t>inter-RAT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pPr>
              <w:pStyle w:val="69"/>
              <w:rPr>
                <w:rFonts w:cs="Arial"/>
                <w:snapToGrid w:val="0"/>
                <w:lang w:eastAsia="ko-KR"/>
              </w:rPr>
            </w:pPr>
            <w:r>
              <w:rPr>
                <w:rFonts w:hint="eastAsia" w:cs="Arial"/>
                <w:snapToGrid w:val="0"/>
              </w:rPr>
              <w:t>2</w:t>
            </w:r>
            <w:r>
              <w:rPr>
                <w:rFonts w:cs="Arial"/>
                <w:snapToGrid w:val="0"/>
              </w:rPr>
              <w:t>4</w:t>
            </w:r>
          </w:p>
        </w:tc>
        <w:tc>
          <w:tcPr>
            <w:tcW w:w="927" w:type="pct"/>
          </w:tcPr>
          <w:p>
            <w:pPr>
              <w:pStyle w:val="69"/>
              <w:rPr>
                <w:snapToGrid w:val="0"/>
              </w:rPr>
            </w:pPr>
            <w:r>
              <w:rPr>
                <w:rFonts w:hint="eastAsia"/>
                <w:snapToGrid w:val="0"/>
              </w:rPr>
              <w:t>1</w:t>
            </w:r>
            <w:r>
              <w:rPr>
                <w:snapToGrid w:val="0"/>
              </w:rPr>
              <w:t>0</w:t>
            </w:r>
          </w:p>
        </w:tc>
        <w:tc>
          <w:tcPr>
            <w:tcW w:w="905" w:type="pct"/>
          </w:tcPr>
          <w:p>
            <w:pPr>
              <w:pStyle w:val="69"/>
              <w:rPr>
                <w:snapToGrid w:val="0"/>
              </w:rPr>
            </w:pPr>
            <w:r>
              <w:rPr>
                <w:rFonts w:hint="eastAsia"/>
                <w:snapToGrid w:val="0"/>
              </w:rPr>
              <w:t>8</w:t>
            </w:r>
            <w:r>
              <w:rPr>
                <w:snapToGrid w:val="0"/>
              </w:rPr>
              <w:t>0</w:t>
            </w:r>
          </w:p>
        </w:tc>
        <w:tc>
          <w:tcPr>
            <w:tcW w:w="1242" w:type="pct"/>
          </w:tcPr>
          <w:p>
            <w:pPr>
              <w:pStyle w:val="69"/>
            </w:pPr>
            <w:r>
              <w:rPr>
                <w:rFonts w:hint="eastAsia"/>
              </w:rPr>
              <w:t>5</w:t>
            </w:r>
            <w:r>
              <w:t>4</w:t>
            </w:r>
            <w:r>
              <w:rPr>
                <w:vertAlign w:val="superscript"/>
              </w:rPr>
              <w:t>Note 1</w:t>
            </w:r>
          </w:p>
        </w:tc>
        <w:tc>
          <w:tcPr>
            <w:tcW w:w="1243" w:type="pct"/>
          </w:tcPr>
          <w:p>
            <w:pPr>
              <w:pStyle w:val="69"/>
            </w:pPr>
            <w:r>
              <w:t>Inter-Frequency E-UTRAN FDD and TDD</w:t>
            </w:r>
            <w:r>
              <w:rPr>
                <w:rFonts w:hint="eastAsia"/>
              </w:rPr>
              <w:t xml:space="preserve"> </w:t>
            </w:r>
            <w:r>
              <w:rPr>
                <w:rFonts w:hint="eastAsia"/>
                <w:vertAlign w:val="superscript"/>
              </w:rPr>
              <w:t>N</w:t>
            </w:r>
            <w:r>
              <w:rPr>
                <w:vertAlign w:val="superscript"/>
              </w:rPr>
              <w:t>ote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pPr>
              <w:pStyle w:val="69"/>
              <w:rPr>
                <w:rFonts w:cs="Arial"/>
                <w:snapToGrid w:val="0"/>
                <w:lang w:eastAsia="ko-KR"/>
              </w:rPr>
            </w:pPr>
            <w:r>
              <w:rPr>
                <w:rFonts w:hint="eastAsia" w:cs="Arial"/>
                <w:snapToGrid w:val="0"/>
              </w:rPr>
              <w:t>2</w:t>
            </w:r>
            <w:r>
              <w:rPr>
                <w:rFonts w:cs="Arial"/>
                <w:snapToGrid w:val="0"/>
              </w:rPr>
              <w:t>5</w:t>
            </w:r>
          </w:p>
        </w:tc>
        <w:tc>
          <w:tcPr>
            <w:tcW w:w="927" w:type="pct"/>
          </w:tcPr>
          <w:p>
            <w:pPr>
              <w:pStyle w:val="69"/>
              <w:rPr>
                <w:snapToGrid w:val="0"/>
              </w:rPr>
            </w:pPr>
            <w:r>
              <w:rPr>
                <w:rFonts w:hint="eastAsia"/>
                <w:snapToGrid w:val="0"/>
              </w:rPr>
              <w:t>2</w:t>
            </w:r>
            <w:r>
              <w:rPr>
                <w:snapToGrid w:val="0"/>
              </w:rPr>
              <w:t>0</w:t>
            </w:r>
          </w:p>
        </w:tc>
        <w:tc>
          <w:tcPr>
            <w:tcW w:w="905" w:type="pct"/>
          </w:tcPr>
          <w:p>
            <w:pPr>
              <w:pStyle w:val="69"/>
              <w:rPr>
                <w:snapToGrid w:val="0"/>
              </w:rPr>
            </w:pPr>
            <w:r>
              <w:rPr>
                <w:rFonts w:hint="eastAsia"/>
                <w:snapToGrid w:val="0"/>
              </w:rPr>
              <w:t>1</w:t>
            </w:r>
            <w:r>
              <w:rPr>
                <w:snapToGrid w:val="0"/>
              </w:rPr>
              <w:t>60</w:t>
            </w:r>
          </w:p>
        </w:tc>
        <w:tc>
          <w:tcPr>
            <w:tcW w:w="1242" w:type="pct"/>
          </w:tcPr>
          <w:p>
            <w:pPr>
              <w:pStyle w:val="69"/>
            </w:pPr>
            <w:r>
              <w:t>Note 3</w:t>
            </w:r>
          </w:p>
        </w:tc>
        <w:tc>
          <w:tcPr>
            <w:tcW w:w="1243" w:type="pct"/>
          </w:tcPr>
          <w:p>
            <w:pPr>
              <w:pStyle w:val="69"/>
            </w:pPr>
            <w:r>
              <w:t>Note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Pr>
          <w:p>
            <w:pPr>
              <w:pStyle w:val="71"/>
            </w:pPr>
            <w:r>
              <w:t>NOTE 1:</w:t>
            </w:r>
            <w:r>
              <w:rPr>
                <w:rFonts w:cs="Arial"/>
              </w:rPr>
              <w:tab/>
            </w:r>
            <w:r>
              <w:t xml:space="preserve">When determing UE requirements using Tinter1 for GP2, 3, </w:t>
            </w:r>
            <w:r>
              <w:rPr>
                <w:rFonts w:hint="eastAsia" w:eastAsia="宋体"/>
                <w:bCs/>
              </w:rPr>
              <w:t>4, 6, 7, 8, 10</w:t>
            </w:r>
            <w:r>
              <w:rPr>
                <w:rFonts w:eastAsia="宋体"/>
                <w:bCs/>
              </w:rPr>
              <w:t>,</w:t>
            </w:r>
            <w:r>
              <w:t xml:space="preserve"> Tinter1 = </w:t>
            </w:r>
            <w:r>
              <w:rPr>
                <w:rFonts w:cs="Arial"/>
                <w:lang w:eastAsia="ko-KR"/>
              </w:rPr>
              <w:t>60</w:t>
            </w:r>
            <w:r>
              <w:t xml:space="preserve"> for GP2</w:t>
            </w:r>
            <w:r>
              <w:rPr>
                <w:rFonts w:hint="eastAsia" w:eastAsia="宋体"/>
              </w:rPr>
              <w:t>,</w:t>
            </w:r>
            <w:r>
              <w:rPr>
                <w:rFonts w:hint="eastAsia" w:eastAsia="宋体"/>
                <w:bCs/>
              </w:rPr>
              <w:t xml:space="preserve"> GP4, GP6, GP7, GP10</w:t>
            </w:r>
            <w:r>
              <w:t xml:space="preserve"> and Tinter1 = </w:t>
            </w:r>
            <w:r>
              <w:rPr>
                <w:rFonts w:cs="Arial"/>
                <w:lang w:eastAsia="ko-KR"/>
              </w:rPr>
              <w:t>30</w:t>
            </w:r>
            <w:r>
              <w:t xml:space="preserve"> for GP3</w:t>
            </w:r>
            <w:r>
              <w:rPr>
                <w:rFonts w:eastAsia="宋体"/>
              </w:rPr>
              <w:t xml:space="preserve">, </w:t>
            </w:r>
            <w:r>
              <w:rPr>
                <w:rFonts w:eastAsia="宋体"/>
                <w:bCs/>
              </w:rPr>
              <w:t>GP</w:t>
            </w:r>
            <w:r>
              <w:rPr>
                <w:rFonts w:hint="eastAsia" w:eastAsia="宋体"/>
                <w:bCs/>
              </w:rPr>
              <w:t>8</w:t>
            </w:r>
            <w:r>
              <w:t xml:space="preserve"> and GP24 shall be used.</w:t>
            </w:r>
          </w:p>
          <w:p>
            <w:pPr>
              <w:pStyle w:val="71"/>
            </w:pPr>
            <w:r>
              <w:t>NOTE 2:</w:t>
            </w:r>
            <w:r>
              <w:rPr>
                <w:rFonts w:cs="Arial"/>
              </w:rPr>
              <w:tab/>
            </w:r>
            <w:r>
              <w:rPr>
                <w:bCs/>
              </w:rPr>
              <w:t>Void.</w:t>
            </w:r>
          </w:p>
          <w:p>
            <w:pPr>
              <w:pStyle w:val="71"/>
            </w:pPr>
            <w:r>
              <w:t>NOTE 3:</w:t>
            </w:r>
            <w:r>
              <w:rPr>
                <w:rFonts w:cs="Arial"/>
              </w:rPr>
              <w:tab/>
            </w:r>
            <w:r>
              <w:t>This gap pattern can be used only for measurement of NR carriers, and Tinter is not applicable.</w:t>
            </w:r>
          </w:p>
          <w:p>
            <w:pPr>
              <w:pStyle w:val="71"/>
            </w:pPr>
            <w:r>
              <w:t>NOTE 4:</w:t>
            </w:r>
            <w:r>
              <w:rPr>
                <w:rFonts w:cs="Arial"/>
              </w:rPr>
              <w:tab/>
            </w:r>
            <w:r>
              <w:t>Void</w:t>
            </w:r>
          </w:p>
          <w:p>
            <w:pPr>
              <w:pStyle w:val="71"/>
              <w:rPr>
                <w:rFonts w:eastAsia="宋体"/>
                <w:bCs/>
              </w:rPr>
            </w:pPr>
            <w:r>
              <w:rPr>
                <w:rFonts w:hint="eastAsia" w:eastAsia="宋体"/>
              </w:rPr>
              <w:t>NOTE 5:</w:t>
            </w:r>
            <w:r>
              <w:rPr>
                <w:rFonts w:cs="Arial"/>
              </w:rPr>
              <w:tab/>
            </w:r>
            <w:r>
              <w:rPr>
                <w:bCs/>
              </w:rPr>
              <w:t>Void.</w:t>
            </w:r>
          </w:p>
          <w:p>
            <w:pPr>
              <w:pStyle w:val="71"/>
              <w:rPr>
                <w:bCs/>
              </w:rPr>
            </w:pPr>
            <w:r>
              <w:rPr>
                <w:rFonts w:hint="eastAsia" w:eastAsia="宋体"/>
              </w:rPr>
              <w:t>NOTE 6:</w:t>
            </w:r>
            <w:r>
              <w:rPr>
                <w:rFonts w:cs="Arial"/>
              </w:rPr>
              <w:tab/>
            </w:r>
            <w:r>
              <w:t>This gap pattern is supported</w:t>
            </w:r>
            <w:r>
              <w:rPr>
                <w:bCs/>
              </w:rPr>
              <w:t xml:space="preserve"> by UEs which are configured to perform</w:t>
            </w:r>
            <w:r>
              <w:rPr>
                <w:rFonts w:ascii="Times New Roman" w:hAnsi="Times New Roman"/>
                <w:sz w:val="20"/>
              </w:rPr>
              <w:t xml:space="preserve"> </w:t>
            </w:r>
            <w:r>
              <w:rPr>
                <w:rFonts w:hint="eastAsia"/>
                <w:bCs/>
              </w:rPr>
              <w:t xml:space="preserve">both </w:t>
            </w:r>
            <w:r>
              <w:rPr>
                <w:bCs/>
              </w:rPr>
              <w:t xml:space="preserve">E-UTRA </w:t>
            </w:r>
            <w:r>
              <w:rPr>
                <w:rFonts w:hint="eastAsia" w:eastAsia="宋体"/>
                <w:bCs/>
              </w:rPr>
              <w:t>i</w:t>
            </w:r>
            <w:r>
              <w:rPr>
                <w:bCs/>
              </w:rPr>
              <w:t xml:space="preserve">nter-frequency </w:t>
            </w:r>
            <w:r>
              <w:rPr>
                <w:rFonts w:hint="eastAsia" w:eastAsia="宋体"/>
                <w:bCs/>
              </w:rPr>
              <w:t>m</w:t>
            </w:r>
            <w:r>
              <w:rPr>
                <w:bCs/>
              </w:rPr>
              <w:t>easurement</w:t>
            </w:r>
            <w:r>
              <w:rPr>
                <w:rFonts w:hint="eastAsia" w:eastAsia="宋体"/>
                <w:bCs/>
              </w:rPr>
              <w:t xml:space="preserve"> and</w:t>
            </w:r>
            <w:r>
              <w:rPr>
                <w:rFonts w:hint="eastAsia"/>
                <w:bCs/>
              </w:rPr>
              <w:t xml:space="preserve"> </w:t>
            </w:r>
            <w:r>
              <w:rPr>
                <w:rFonts w:hint="eastAsia" w:eastAsia="宋体"/>
                <w:bCs/>
              </w:rPr>
              <w:t xml:space="preserve">inter-RAT </w:t>
            </w:r>
            <w:r>
              <w:rPr>
                <w:rFonts w:hint="eastAsia"/>
                <w:bCs/>
              </w:rPr>
              <w:t xml:space="preserve">NR measurement </w:t>
            </w:r>
            <w:r>
              <w:rPr>
                <w:rFonts w:hint="eastAsia" w:eastAsia="宋体"/>
                <w:bCs/>
              </w:rPr>
              <w:t xml:space="preserve">or </w:t>
            </w:r>
            <w:r>
              <w:t>supported</w:t>
            </w:r>
            <w:r>
              <w:rPr>
                <w:bCs/>
              </w:rPr>
              <w:t xml:space="preserve"> by UEs configured to perform inter-RAT NR measurement only.</w:t>
            </w:r>
          </w:p>
          <w:p>
            <w:pPr>
              <w:pStyle w:val="71"/>
            </w:pPr>
            <w:r>
              <w:t>NOTE 7:</w:t>
            </w:r>
            <w:r>
              <w:rPr>
                <w:rFonts w:cs="Arial"/>
              </w:rPr>
              <w:t xml:space="preserve"> </w:t>
            </w:r>
            <w:r>
              <w:rPr>
                <w:rFonts w:cs="Arial"/>
              </w:rPr>
              <w:tab/>
            </w:r>
            <w:r>
              <w:t>When this gap pattern is used, the T</w:t>
            </w:r>
            <w:r>
              <w:rPr>
                <w:vertAlign w:val="subscript"/>
              </w:rPr>
              <w:t>inter</w:t>
            </w:r>
            <w:r>
              <w:t xml:space="preserve"> for E-UTRA interfrequency measurements is 48ms corresponding to the first 3ms of the 4ms gap</w:t>
            </w:r>
          </w:p>
          <w:p>
            <w:pPr>
              <w:pStyle w:val="71"/>
              <w:rPr>
                <w:rFonts w:eastAsia="宋体"/>
              </w:rPr>
            </w:pPr>
            <w:r>
              <w:t>NOTE 8:</w:t>
            </w:r>
            <w:r>
              <w:rPr>
                <w:rFonts w:cs="Arial"/>
              </w:rPr>
              <w:t xml:space="preserve"> </w:t>
            </w:r>
            <w:r>
              <w:rPr>
                <w:rFonts w:cs="Arial"/>
              </w:rPr>
              <w:tab/>
            </w:r>
            <w:r>
              <w:t>When this gap pattern is used, the T</w:t>
            </w:r>
            <w:r>
              <w:rPr>
                <w:vertAlign w:val="subscript"/>
              </w:rPr>
              <w:t>inter</w:t>
            </w:r>
            <w:r>
              <w:t xml:space="preserve"> for E-UTRA interfrequency measurements is 24ms corresponding to the first 3ms of the 4ms gap</w:t>
            </w:r>
          </w:p>
          <w:p>
            <w:pPr>
              <w:pStyle w:val="71"/>
            </w:pPr>
            <w:r>
              <w:t>NOTE 9:</w:t>
            </w:r>
            <w:r>
              <w:rPr>
                <w:rFonts w:cs="Arial"/>
              </w:rPr>
              <w:t xml:space="preserve"> </w:t>
            </w:r>
            <w:r>
              <w:rPr>
                <w:rFonts w:cs="Arial"/>
              </w:rPr>
              <w:tab/>
            </w:r>
            <w:r>
              <w:t>When this gap pattern is used, the T</w:t>
            </w:r>
            <w:r>
              <w:rPr>
                <w:vertAlign w:val="subscript"/>
              </w:rPr>
              <w:t>inter</w:t>
            </w:r>
            <w:r>
              <w:t xml:space="preserve"> for E-UTRA interfrequency measurements is 12ms corresponding to the first 3ms of the 4ms gap </w:t>
            </w:r>
          </w:p>
          <w:p>
            <w:pPr>
              <w:pStyle w:val="71"/>
            </w:pPr>
            <w:bookmarkStart w:id="21" w:name="_Hlk42031185"/>
            <w:r>
              <w:t>NOTE 10:</w:t>
            </w:r>
            <w:r>
              <w:tab/>
            </w:r>
            <w:r>
              <w:t xml:space="preserve">For UE only supporting </w:t>
            </w:r>
            <w:r>
              <w:rPr>
                <w:i/>
              </w:rPr>
              <w:t>measGapPatterns-NRonly-r16</w:t>
            </w:r>
            <w:r>
              <w:t xml:space="preserve"> for the corresponding gap patterns among GP2-11, the corresponding gap patterns are only applicable to measurement of inter-RAT NR.</w:t>
            </w:r>
            <w:bookmarkEnd w:id="21"/>
          </w:p>
          <w:p>
            <w:pPr>
              <w:pStyle w:val="71"/>
            </w:pPr>
            <w:r>
              <w:t>NOTE 11:</w:t>
            </w:r>
            <w:r>
              <w:rPr>
                <w:rFonts w:cs="Arial"/>
              </w:rPr>
              <w:t xml:space="preserve"> </w:t>
            </w:r>
            <w:r>
              <w:rPr>
                <w:rFonts w:cs="Arial"/>
              </w:rPr>
              <w:tab/>
            </w:r>
            <w:r>
              <w:rPr>
                <w:snapToGrid w:val="0"/>
              </w:rPr>
              <w:t>Measurement gap patterns #24 and #25 can be requested by NR PCell [38] only when the UE is configured at least with any of RSTD, UE Rx-Tx, or PRS-RSRP measurements requiring such gaps and can only be used during the corresponding positioning measurement period</w:t>
            </w:r>
          </w:p>
        </w:tc>
      </w:tr>
    </w:tbl>
    <w:p>
      <w:pPr>
        <w:rPr>
          <w:rFonts w:hint="default" w:eastAsia="宋体"/>
          <w:lang w:val="en-US" w:eastAsia="zh-CN"/>
        </w:rPr>
      </w:pPr>
      <w:r>
        <w:rPr>
          <w:rFonts w:hint="eastAsia" w:eastAsia="宋体"/>
          <w:lang w:val="en-US" w:eastAsia="zh-CN"/>
        </w:rPr>
        <w:t>From our perspective, the parameters MeasurementGap Length and m</w:t>
      </w:r>
      <w:r>
        <w:t xml:space="preserve">easurement </w:t>
      </w:r>
      <w:r>
        <w:rPr>
          <w:rFonts w:hint="eastAsia" w:eastAsia="宋体"/>
          <w:lang w:val="en-US" w:eastAsia="zh-CN"/>
        </w:rPr>
        <w:t>g</w:t>
      </w:r>
      <w:r>
        <w:t xml:space="preserve">ap </w:t>
      </w:r>
      <w:r>
        <w:rPr>
          <w:rFonts w:hint="eastAsia" w:eastAsia="宋体"/>
          <w:lang w:val="en-US" w:eastAsia="zh-CN"/>
        </w:rPr>
        <w:t>r</w:t>
      </w:r>
      <w:r>
        <w:t xml:space="preserve">epetition </w:t>
      </w:r>
      <w:r>
        <w:rPr>
          <w:rFonts w:hint="eastAsia" w:eastAsia="宋体"/>
          <w:lang w:val="en-US" w:eastAsia="zh-CN"/>
        </w:rPr>
        <w:t>p</w:t>
      </w:r>
      <w:r>
        <w:t>eriod</w:t>
      </w:r>
      <w:r>
        <w:rPr>
          <w:rFonts w:hint="eastAsia" w:eastAsia="宋体"/>
          <w:lang w:val="en-US" w:eastAsia="zh-CN"/>
        </w:rPr>
        <w:t xml:space="preserve"> would be affected by the available DL subframes. And based on the current measurement gap configuration, the value range of MeasurementGap Length may be suitable to the new TDD pattern based on network configuration. While for the m</w:t>
      </w:r>
      <w:r>
        <w:t xml:space="preserve">easurement </w:t>
      </w:r>
      <w:r>
        <w:rPr>
          <w:rFonts w:hint="eastAsia" w:eastAsia="宋体"/>
          <w:lang w:val="en-US" w:eastAsia="zh-CN"/>
        </w:rPr>
        <w:t>g</w:t>
      </w:r>
      <w:r>
        <w:t xml:space="preserve">ap </w:t>
      </w:r>
      <w:r>
        <w:rPr>
          <w:rFonts w:hint="eastAsia" w:eastAsia="宋体"/>
          <w:lang w:val="en-US" w:eastAsia="zh-CN"/>
        </w:rPr>
        <w:t>r</w:t>
      </w:r>
      <w:r>
        <w:t xml:space="preserve">epetition </w:t>
      </w:r>
      <w:r>
        <w:rPr>
          <w:rFonts w:hint="eastAsia" w:eastAsia="宋体"/>
          <w:lang w:val="en-US" w:eastAsia="zh-CN"/>
        </w:rPr>
        <w:t>p</w:t>
      </w:r>
      <w:r>
        <w:t>eriod</w:t>
      </w:r>
      <w:r>
        <w:rPr>
          <w:rFonts w:hint="eastAsia" w:eastAsia="宋体"/>
          <w:lang w:val="en-US" w:eastAsia="zh-CN"/>
        </w:rPr>
        <w:t>, some new values could be considered based on the available DL subframes in one new TDD pattern period, for example, 90ms (i.e. corresponding to the period of the new TDD pattern) and multiples of 90ms. Therefore, measurement gap configuration enhancements could be discussed to match the new TDD pattern.</w:t>
      </w:r>
    </w:p>
    <w:p>
      <w:pPr>
        <w:pStyle w:val="60"/>
        <w:spacing w:after="0"/>
        <w:ind w:left="0" w:firstLine="0"/>
        <w:rPr>
          <w:rFonts w:hint="default" w:eastAsia="宋体"/>
          <w:b/>
          <w:bCs/>
          <w:lang w:val="en-US" w:eastAsia="zh-CN"/>
        </w:rPr>
      </w:pPr>
      <w:r>
        <w:rPr>
          <w:rFonts w:hint="eastAsia" w:eastAsia="宋体"/>
          <w:b/>
          <w:bCs/>
          <w:lang w:val="en-US" w:eastAsia="zh-CN"/>
        </w:rPr>
        <w:t>Proposal 5: It is proposed that measurement gap configuration enhancements (e.g introduction of new measurement gap repetition period values) could be discussed to match the new TDD pattern.</w:t>
      </w:r>
    </w:p>
    <w:bookmarkEnd w:id="2"/>
    <w:p>
      <w:pPr>
        <w:pStyle w:val="2"/>
        <w:rPr>
          <w:rFonts w:cs="Arial"/>
          <w:sz w:val="32"/>
          <w:szCs w:val="32"/>
        </w:rPr>
      </w:pPr>
      <w:r>
        <w:rPr>
          <w:rFonts w:cs="Arial"/>
          <w:sz w:val="32"/>
          <w:szCs w:val="32"/>
        </w:rPr>
        <w:t>Conclusion</w:t>
      </w:r>
    </w:p>
    <w:p>
      <w:pPr>
        <w:pStyle w:val="60"/>
        <w:spacing w:after="0"/>
        <w:ind w:left="0" w:firstLine="0"/>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 xml:space="preserve">on </w:t>
      </w:r>
      <w:r>
        <w:rPr>
          <w:rFonts w:hint="eastAsia" w:eastAsiaTheme="minorEastAsia"/>
          <w:sz w:val="20"/>
          <w:szCs w:val="20"/>
          <w:lang w:val="en-US" w:eastAsia="zh-CN"/>
        </w:rPr>
        <w:t>IoT-NTN TDD mode</w:t>
      </w:r>
      <w:r>
        <w:rPr>
          <w:rFonts w:eastAsiaTheme="minorEastAsia"/>
          <w:sz w:val="20"/>
          <w:szCs w:val="20"/>
          <w:lang w:eastAsia="zh-CN"/>
        </w:rPr>
        <w:t xml:space="preserve"> </w:t>
      </w:r>
      <w:r>
        <w:rPr>
          <w:rFonts w:eastAsia="宋体" w:cs="Arial"/>
          <w:sz w:val="20"/>
          <w:szCs w:val="20"/>
        </w:rPr>
        <w:t>and have the following</w:t>
      </w:r>
      <w:r>
        <w:rPr>
          <w:rFonts w:hint="eastAsia" w:eastAsia="宋体" w:cs="Arial"/>
          <w:sz w:val="20"/>
          <w:szCs w:val="20"/>
          <w:lang w:val="en-US" w:eastAsia="zh-CN"/>
        </w:rPr>
        <w:t xml:space="preserve"> </w:t>
      </w:r>
      <w:r>
        <w:rPr>
          <w:rFonts w:eastAsia="宋体" w:cs="Arial"/>
          <w:sz w:val="20"/>
          <w:szCs w:val="20"/>
        </w:rPr>
        <w:t>proposals:</w:t>
      </w:r>
    </w:p>
    <w:p>
      <w:pPr>
        <w:pStyle w:val="60"/>
        <w:spacing w:after="0"/>
        <w:ind w:left="0" w:firstLine="0"/>
        <w:rPr>
          <w:rFonts w:hint="default" w:eastAsia="宋体"/>
          <w:b/>
          <w:bCs/>
          <w:lang w:val="en-US" w:eastAsia="zh-CN"/>
        </w:rPr>
      </w:pPr>
      <w:r>
        <w:rPr>
          <w:rFonts w:hint="eastAsia" w:eastAsia="宋体"/>
          <w:b/>
          <w:bCs/>
          <w:lang w:val="en-US" w:eastAsia="zh-CN"/>
        </w:rPr>
        <w:t>Proposal 1: Suggest RAN2 to discuss the enhancements for UP windows/timers. And a-ResponseWindow, mac-ContentionResolutionTimer, pur-ResponseWindowTimer, (UL) HARQ RTT timer, RLC t-Reordering timer, PDCP discardTimer could be the starting point.</w:t>
      </w:r>
    </w:p>
    <w:p>
      <w:pPr>
        <w:pStyle w:val="60"/>
        <w:spacing w:after="0"/>
        <w:ind w:left="0" w:firstLine="0"/>
        <w:rPr>
          <w:rFonts w:hint="eastAsia" w:eastAsia="宋体"/>
          <w:b/>
          <w:bCs/>
          <w:lang w:val="en-US" w:eastAsia="zh-CN"/>
        </w:rPr>
      </w:pPr>
      <w:r>
        <w:rPr>
          <w:rFonts w:hint="eastAsia" w:eastAsia="宋体"/>
          <w:b/>
          <w:bCs/>
          <w:lang w:val="en-US" w:eastAsia="zh-CN"/>
        </w:rPr>
        <w:t>Proposal 2: It is proposed that if the NB-IoT NTN system operates in TDD mode, the HARQ feedback is disabled by default, and to be simple, we could just add related description in TS 36.300.</w:t>
      </w:r>
    </w:p>
    <w:p>
      <w:pPr>
        <w:pStyle w:val="60"/>
        <w:spacing w:after="0"/>
        <w:ind w:left="0" w:firstLine="0"/>
        <w:rPr>
          <w:rFonts w:hint="eastAsia" w:eastAsiaTheme="minorEastAsia"/>
          <w:b w:val="0"/>
          <w:bCs w:val="0"/>
          <w:sz w:val="20"/>
          <w:szCs w:val="20"/>
          <w:lang w:val="en-US" w:eastAsia="zh-CN"/>
        </w:rPr>
      </w:pPr>
      <w:r>
        <w:rPr>
          <w:rFonts w:hint="eastAsia" w:eastAsia="宋体"/>
          <w:b/>
          <w:bCs/>
          <w:lang w:val="en-US" w:eastAsia="zh-CN"/>
        </w:rPr>
        <w:t>Proposal 3: SI acquisition needs to consider the new TDD pattern.</w:t>
      </w:r>
    </w:p>
    <w:p>
      <w:pPr>
        <w:pStyle w:val="60"/>
        <w:spacing w:after="0"/>
        <w:ind w:left="0" w:firstLine="0"/>
        <w:rPr>
          <w:rFonts w:hint="eastAsia" w:eastAsiaTheme="minorEastAsia"/>
          <w:b w:val="0"/>
          <w:bCs w:val="0"/>
          <w:sz w:val="20"/>
          <w:szCs w:val="20"/>
          <w:lang w:val="en-US" w:eastAsia="zh-CN"/>
        </w:rPr>
      </w:pPr>
      <w:r>
        <w:rPr>
          <w:rFonts w:hint="eastAsia" w:eastAsia="宋体"/>
          <w:b/>
          <w:bCs/>
          <w:lang w:val="en-US" w:eastAsia="zh-CN"/>
        </w:rPr>
        <w:t>Proposal 4: Paging enhancement (e.g. actual available PF/PO) is needed based on the new TDD pattern.</w:t>
      </w:r>
    </w:p>
    <w:p>
      <w:pPr>
        <w:pStyle w:val="60"/>
        <w:spacing w:after="0"/>
        <w:ind w:left="0" w:firstLine="0"/>
        <w:rPr>
          <w:rFonts w:eastAsia="宋体" w:cs="Arial"/>
          <w:sz w:val="20"/>
          <w:szCs w:val="20"/>
        </w:rPr>
      </w:pPr>
      <w:r>
        <w:rPr>
          <w:rFonts w:hint="eastAsia" w:eastAsia="宋体"/>
          <w:b/>
          <w:bCs/>
          <w:lang w:val="en-US" w:eastAsia="zh-CN"/>
        </w:rPr>
        <w:t>Proposal 5: It is proposed that measurement gap configuration enhancements (e.g introduction of new measurement gap repetition period values) could be discussed to match the new TDD pattern.</w:t>
      </w:r>
    </w:p>
    <w:p>
      <w:pPr>
        <w:pStyle w:val="2"/>
        <w:rPr>
          <w:rFonts w:cs="Arial"/>
          <w:sz w:val="32"/>
          <w:szCs w:val="32"/>
        </w:rPr>
      </w:pPr>
      <w:r>
        <w:rPr>
          <w:rFonts w:cs="Arial"/>
          <w:sz w:val="32"/>
          <w:szCs w:val="32"/>
        </w:rPr>
        <w:t>Reference</w:t>
      </w:r>
    </w:p>
    <w:p>
      <w:pPr>
        <w:pStyle w:val="27"/>
        <w:numPr>
          <w:ilvl w:val="0"/>
          <w:numId w:val="14"/>
        </w:numPr>
        <w:overflowPunct/>
        <w:autoSpaceDE/>
        <w:autoSpaceDN/>
        <w:adjustRightInd/>
        <w:spacing w:beforeLines="50" w:after="0"/>
        <w:jc w:val="left"/>
        <w:textAlignment w:val="auto"/>
        <w:rPr>
          <w:rFonts w:hint="eastAsia"/>
          <w:sz w:val="20"/>
          <w:szCs w:val="20"/>
        </w:rPr>
      </w:pPr>
      <w:bookmarkStart w:id="22" w:name="_In-sequence_SDU_delivery"/>
      <w:bookmarkEnd w:id="22"/>
      <w:r>
        <w:rPr>
          <w:rFonts w:hint="eastAsia"/>
          <w:sz w:val="20"/>
          <w:szCs w:val="20"/>
        </w:rPr>
        <w:t>RP-243293 Revised WID on introduction of IoT-NTN TDD_rm</w:t>
      </w:r>
    </w:p>
    <w:p>
      <w:pPr>
        <w:pStyle w:val="27"/>
        <w:numPr>
          <w:ilvl w:val="0"/>
          <w:numId w:val="14"/>
        </w:numPr>
        <w:overflowPunct/>
        <w:autoSpaceDE/>
        <w:autoSpaceDN/>
        <w:adjustRightInd/>
        <w:spacing w:beforeLines="50" w:after="0"/>
        <w:jc w:val="left"/>
        <w:textAlignment w:val="auto"/>
        <w:rPr>
          <w:rFonts w:hint="eastAsia"/>
          <w:sz w:val="20"/>
          <w:szCs w:val="20"/>
        </w:rPr>
      </w:pPr>
      <w:r>
        <w:rPr>
          <w:rFonts w:hint="eastAsia"/>
          <w:sz w:val="20"/>
          <w:szCs w:val="20"/>
        </w:rPr>
        <w:t>3GPP TS 36.30</w:t>
      </w:r>
      <w:r>
        <w:rPr>
          <w:rFonts w:hint="eastAsia" w:eastAsia="宋体"/>
          <w:sz w:val="20"/>
          <w:szCs w:val="20"/>
          <w:lang w:val="en-US" w:eastAsia="zh-CN"/>
        </w:rPr>
        <w:t>0</w:t>
      </w:r>
      <w:r>
        <w:rPr>
          <w:rFonts w:hint="eastAsia"/>
          <w:sz w:val="20"/>
          <w:szCs w:val="20"/>
        </w:rPr>
        <w:t xml:space="preserve"> V18.</w:t>
      </w:r>
      <w:r>
        <w:rPr>
          <w:rFonts w:hint="eastAsia" w:eastAsia="宋体"/>
          <w:sz w:val="20"/>
          <w:szCs w:val="20"/>
          <w:lang w:val="en-US" w:eastAsia="zh-CN"/>
        </w:rPr>
        <w:t>4</w:t>
      </w:r>
      <w:r>
        <w:rPr>
          <w:rFonts w:hint="eastAsia"/>
          <w:sz w:val="20"/>
          <w:szCs w:val="20"/>
        </w:rPr>
        <w:t>.0</w:t>
      </w:r>
      <w:r>
        <w:rPr>
          <w:rFonts w:hint="eastAsia" w:eastAsia="宋体"/>
          <w:sz w:val="20"/>
          <w:szCs w:val="20"/>
          <w:lang w:val="en-US" w:eastAsia="zh-CN"/>
        </w:rPr>
        <w:t xml:space="preserve"> Evolved Universal Terrestrial Radio Access (E-UTRA) and Evolved Universal Terrestrial Radio Access Network (E-UTRAN); Overall description; Stage 2 (Release 18)</w:t>
      </w:r>
    </w:p>
    <w:p>
      <w:pPr>
        <w:pStyle w:val="27"/>
        <w:numPr>
          <w:ilvl w:val="0"/>
          <w:numId w:val="14"/>
        </w:numPr>
        <w:overflowPunct/>
        <w:autoSpaceDE/>
        <w:autoSpaceDN/>
        <w:adjustRightInd/>
        <w:spacing w:beforeLines="50" w:after="0"/>
        <w:jc w:val="left"/>
        <w:textAlignment w:val="auto"/>
        <w:rPr>
          <w:rFonts w:hint="eastAsia"/>
          <w:sz w:val="20"/>
          <w:szCs w:val="20"/>
        </w:rPr>
      </w:pPr>
      <w:r>
        <w:rPr>
          <w:rFonts w:hint="eastAsia"/>
          <w:sz w:val="20"/>
          <w:szCs w:val="20"/>
        </w:rPr>
        <w:t>3GPP TS 36.331 V18.</w:t>
      </w:r>
      <w:r>
        <w:rPr>
          <w:rFonts w:hint="eastAsia" w:eastAsia="宋体"/>
          <w:sz w:val="20"/>
          <w:szCs w:val="20"/>
          <w:lang w:val="en-US" w:eastAsia="zh-CN"/>
        </w:rPr>
        <w:t>4</w:t>
      </w:r>
      <w:r>
        <w:rPr>
          <w:rFonts w:hint="eastAsia"/>
          <w:sz w:val="20"/>
          <w:szCs w:val="20"/>
        </w:rPr>
        <w:t>.0 Evolved Universal Terrestrial Radio Access (E-UTRA);</w:t>
      </w:r>
      <w:r>
        <w:rPr>
          <w:rFonts w:hint="eastAsia" w:eastAsia="宋体"/>
          <w:sz w:val="20"/>
          <w:szCs w:val="20"/>
          <w:lang w:val="en-US" w:eastAsia="zh-CN"/>
        </w:rPr>
        <w:t xml:space="preserve"> </w:t>
      </w:r>
      <w:r>
        <w:rPr>
          <w:rFonts w:hint="eastAsia"/>
          <w:sz w:val="20"/>
          <w:szCs w:val="20"/>
        </w:rPr>
        <w:t>Radio Resource Control (RRC);</w:t>
      </w:r>
      <w:r>
        <w:rPr>
          <w:rFonts w:hint="eastAsia" w:eastAsia="宋体"/>
          <w:sz w:val="20"/>
          <w:szCs w:val="20"/>
          <w:lang w:val="en-US" w:eastAsia="zh-CN"/>
        </w:rPr>
        <w:t xml:space="preserve"> </w:t>
      </w:r>
      <w:r>
        <w:rPr>
          <w:rFonts w:hint="eastAsia"/>
          <w:sz w:val="20"/>
          <w:szCs w:val="20"/>
        </w:rPr>
        <w:t>Protocol specification</w:t>
      </w:r>
      <w:r>
        <w:rPr>
          <w:rFonts w:hint="eastAsia" w:eastAsia="宋体"/>
          <w:sz w:val="20"/>
          <w:szCs w:val="20"/>
          <w:lang w:val="en-US" w:eastAsia="zh-CN"/>
        </w:rPr>
        <w:t xml:space="preserve"> </w:t>
      </w:r>
      <w:r>
        <w:rPr>
          <w:rFonts w:hint="eastAsia"/>
          <w:sz w:val="20"/>
          <w:szCs w:val="20"/>
        </w:rPr>
        <w:t>(Release 18)</w:t>
      </w:r>
      <w:r>
        <w:rPr>
          <w:rFonts w:hint="eastAsia" w:eastAsia="宋体"/>
          <w:sz w:val="20"/>
          <w:szCs w:val="20"/>
          <w:lang w:val="en-US" w:eastAsia="zh-CN"/>
        </w:rPr>
        <w:t xml:space="preserve"> </w:t>
      </w:r>
    </w:p>
    <w:p>
      <w:pPr>
        <w:pStyle w:val="27"/>
        <w:numPr>
          <w:ilvl w:val="0"/>
          <w:numId w:val="14"/>
        </w:numPr>
        <w:overflowPunct/>
        <w:autoSpaceDE/>
        <w:autoSpaceDN/>
        <w:adjustRightInd/>
        <w:spacing w:beforeLines="50" w:after="0"/>
        <w:jc w:val="left"/>
        <w:textAlignment w:val="auto"/>
        <w:rPr>
          <w:rFonts w:hint="eastAsia"/>
          <w:sz w:val="20"/>
          <w:szCs w:val="20"/>
        </w:rPr>
      </w:pPr>
      <w:r>
        <w:rPr>
          <w:rFonts w:hint="eastAsia"/>
          <w:sz w:val="20"/>
          <w:szCs w:val="20"/>
        </w:rPr>
        <w:t>3GPP TS 36.304 V18.3.0</w:t>
      </w:r>
      <w:r>
        <w:rPr>
          <w:rFonts w:hint="eastAsia" w:eastAsia="宋体"/>
          <w:sz w:val="20"/>
          <w:szCs w:val="20"/>
          <w:lang w:val="en-US" w:eastAsia="zh-CN"/>
        </w:rPr>
        <w:t xml:space="preserve"> Evolved Universal Terrestrial Radio Access (E-UTRA); User Equipment (UE) procedures in idle mode (Release 18)</w:t>
      </w:r>
    </w:p>
    <w:p>
      <w:pPr>
        <w:pStyle w:val="27"/>
        <w:numPr>
          <w:ilvl w:val="0"/>
          <w:numId w:val="14"/>
        </w:numPr>
        <w:overflowPunct/>
        <w:autoSpaceDE/>
        <w:autoSpaceDN/>
        <w:adjustRightInd/>
        <w:spacing w:beforeLines="50" w:after="0"/>
        <w:jc w:val="left"/>
        <w:textAlignment w:val="auto"/>
        <w:rPr>
          <w:rFonts w:hint="eastAsia"/>
          <w:sz w:val="20"/>
          <w:szCs w:val="20"/>
        </w:rPr>
      </w:pPr>
      <w:r>
        <w:rPr>
          <w:rFonts w:hint="eastAsia"/>
          <w:sz w:val="20"/>
          <w:szCs w:val="20"/>
        </w:rPr>
        <w:t>3GPP TS 36.133 V18.8.0</w:t>
      </w:r>
      <w:r>
        <w:rPr>
          <w:rFonts w:hint="eastAsia" w:eastAsia="宋体"/>
          <w:sz w:val="20"/>
          <w:szCs w:val="20"/>
          <w:lang w:val="en-US" w:eastAsia="zh-CN"/>
        </w:rPr>
        <w:t xml:space="preserve"> Evolved Universal Terrestrial Radio Access (E-UTRA); Requirements for support of radio resource management (Release 18)</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4</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9A43A1"/>
    <w:multiLevelType w:val="singleLevel"/>
    <w:tmpl w:val="C59A43A1"/>
    <w:lvl w:ilvl="0" w:tentative="0">
      <w:start w:val="1"/>
      <w:numFmt w:val="decimal"/>
      <w:suff w:val="space"/>
      <w:lvlText w:val="[%1]"/>
      <w:lvlJc w:val="left"/>
    </w:lvl>
  </w:abstractNum>
  <w:abstractNum w:abstractNumId="1">
    <w:nsid w:val="00000002"/>
    <w:multiLevelType w:val="singleLevel"/>
    <w:tmpl w:val="00000002"/>
    <w:lvl w:ilvl="0" w:tentative="0">
      <w:start w:val="1"/>
      <w:numFmt w:val="bullet"/>
      <w:lvlText w:val=""/>
      <w:lvlJc w:val="left"/>
      <w:pPr>
        <w:ind w:left="720" w:hanging="360"/>
      </w:pPr>
      <w:rPr>
        <w:rFonts w:hint="default" w:ascii="Symbol" w:hAnsi="Symbol"/>
      </w:rPr>
    </w:lvl>
  </w:abstractNum>
  <w:abstractNum w:abstractNumId="2">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483CD10"/>
    <w:multiLevelType w:val="singleLevel"/>
    <w:tmpl w:val="3483CD10"/>
    <w:lvl w:ilvl="0" w:tentative="0">
      <w:start w:val="1"/>
      <w:numFmt w:val="decimal"/>
      <w:lvlText w:val="%1&gt;"/>
      <w:lvlJc w:val="left"/>
    </w:lvl>
  </w:abstractNum>
  <w:abstractNum w:abstractNumId="6">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8">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6532722C"/>
    <w:multiLevelType w:val="multilevel"/>
    <w:tmpl w:val="6532722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11"/>
  </w:num>
  <w:num w:numId="4">
    <w:abstractNumId w:val="8"/>
  </w:num>
  <w:num w:numId="5">
    <w:abstractNumId w:val="3"/>
  </w:num>
  <w:num w:numId="6">
    <w:abstractNumId w:val="7"/>
  </w:num>
  <w:num w:numId="7">
    <w:abstractNumId w:val="9"/>
  </w:num>
  <w:num w:numId="8">
    <w:abstractNumId w:val="6"/>
  </w:num>
  <w:num w:numId="9">
    <w:abstractNumId w:val="10"/>
  </w:num>
  <w:num w:numId="10">
    <w:abstractNumId w:val="13"/>
  </w:num>
  <w:num w:numId="11">
    <w:abstractNumId w:val="1"/>
  </w:num>
  <w:num w:numId="12">
    <w:abstractNumId w:val="12"/>
  </w:num>
  <w:num w:numId="13">
    <w:abstractNumId w:val="5"/>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isplayBackgroundShape w:val="1"/>
  <w:bordersDoNotSurroundHeader w:val="0"/>
  <w:bordersDoNotSurroundFooter w:val="0"/>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172A27"/>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00AC"/>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068C"/>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58B"/>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1315"/>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106F4B"/>
    <w:rsid w:val="01187207"/>
    <w:rsid w:val="01426C64"/>
    <w:rsid w:val="015036AA"/>
    <w:rsid w:val="015B631E"/>
    <w:rsid w:val="016318F9"/>
    <w:rsid w:val="017A73D0"/>
    <w:rsid w:val="018E0749"/>
    <w:rsid w:val="019A10AD"/>
    <w:rsid w:val="01A21D3D"/>
    <w:rsid w:val="01A659EC"/>
    <w:rsid w:val="01BF172D"/>
    <w:rsid w:val="01CD2E76"/>
    <w:rsid w:val="01E74520"/>
    <w:rsid w:val="021F6B8A"/>
    <w:rsid w:val="022F4B03"/>
    <w:rsid w:val="023B087A"/>
    <w:rsid w:val="026E2D25"/>
    <w:rsid w:val="02744528"/>
    <w:rsid w:val="02877C19"/>
    <w:rsid w:val="028D67E7"/>
    <w:rsid w:val="02CC0A1F"/>
    <w:rsid w:val="02D22694"/>
    <w:rsid w:val="02DD0987"/>
    <w:rsid w:val="035845AA"/>
    <w:rsid w:val="03A11802"/>
    <w:rsid w:val="03A70CE2"/>
    <w:rsid w:val="03CD053C"/>
    <w:rsid w:val="03F47F88"/>
    <w:rsid w:val="0416334A"/>
    <w:rsid w:val="04726FC9"/>
    <w:rsid w:val="047D246A"/>
    <w:rsid w:val="048A5003"/>
    <w:rsid w:val="04A13B04"/>
    <w:rsid w:val="04B403C6"/>
    <w:rsid w:val="04BC080F"/>
    <w:rsid w:val="04BF107F"/>
    <w:rsid w:val="04D25727"/>
    <w:rsid w:val="04DA176A"/>
    <w:rsid w:val="04EF7190"/>
    <w:rsid w:val="04F07943"/>
    <w:rsid w:val="04F50E2F"/>
    <w:rsid w:val="050745CD"/>
    <w:rsid w:val="051D3A75"/>
    <w:rsid w:val="05606A49"/>
    <w:rsid w:val="059476CF"/>
    <w:rsid w:val="05983EBC"/>
    <w:rsid w:val="05A35E9B"/>
    <w:rsid w:val="05A67783"/>
    <w:rsid w:val="06072EC4"/>
    <w:rsid w:val="06077EDA"/>
    <w:rsid w:val="06254DA5"/>
    <w:rsid w:val="06261BBF"/>
    <w:rsid w:val="0654248D"/>
    <w:rsid w:val="06565EAE"/>
    <w:rsid w:val="065C74ED"/>
    <w:rsid w:val="06724B04"/>
    <w:rsid w:val="06B42119"/>
    <w:rsid w:val="06F35128"/>
    <w:rsid w:val="07046057"/>
    <w:rsid w:val="078017DE"/>
    <w:rsid w:val="078C1F33"/>
    <w:rsid w:val="07B241B1"/>
    <w:rsid w:val="07B959B1"/>
    <w:rsid w:val="07BD374D"/>
    <w:rsid w:val="07E06570"/>
    <w:rsid w:val="07E769A5"/>
    <w:rsid w:val="07EF7893"/>
    <w:rsid w:val="08350D3C"/>
    <w:rsid w:val="083C3DD7"/>
    <w:rsid w:val="083F0917"/>
    <w:rsid w:val="0841118C"/>
    <w:rsid w:val="08AF444E"/>
    <w:rsid w:val="08F65DA6"/>
    <w:rsid w:val="09133D3D"/>
    <w:rsid w:val="09BB5B6F"/>
    <w:rsid w:val="09E47F26"/>
    <w:rsid w:val="09F46CE4"/>
    <w:rsid w:val="0A1A51CE"/>
    <w:rsid w:val="0A241BD4"/>
    <w:rsid w:val="0A3F21EB"/>
    <w:rsid w:val="0A5E59A5"/>
    <w:rsid w:val="0A9740DA"/>
    <w:rsid w:val="0AA40C7E"/>
    <w:rsid w:val="0ACC0F45"/>
    <w:rsid w:val="0B080B5F"/>
    <w:rsid w:val="0B4A1814"/>
    <w:rsid w:val="0B510D2F"/>
    <w:rsid w:val="0B767B3C"/>
    <w:rsid w:val="0BA01FBF"/>
    <w:rsid w:val="0BAE26FE"/>
    <w:rsid w:val="0BCF37C5"/>
    <w:rsid w:val="0BD60B5C"/>
    <w:rsid w:val="0C0E133A"/>
    <w:rsid w:val="0C187DEE"/>
    <w:rsid w:val="0C4B2410"/>
    <w:rsid w:val="0C984883"/>
    <w:rsid w:val="0CAE5B2E"/>
    <w:rsid w:val="0CD409FF"/>
    <w:rsid w:val="0D524167"/>
    <w:rsid w:val="0D587FCA"/>
    <w:rsid w:val="0D6133DD"/>
    <w:rsid w:val="0D681ED9"/>
    <w:rsid w:val="0D6C179F"/>
    <w:rsid w:val="0DA013F6"/>
    <w:rsid w:val="0DDB664A"/>
    <w:rsid w:val="0E2944A5"/>
    <w:rsid w:val="0E336CD8"/>
    <w:rsid w:val="0E891356"/>
    <w:rsid w:val="0E997EF0"/>
    <w:rsid w:val="0EC440FF"/>
    <w:rsid w:val="0EF139CD"/>
    <w:rsid w:val="0FB354FB"/>
    <w:rsid w:val="0FCC0A5A"/>
    <w:rsid w:val="0FE0018D"/>
    <w:rsid w:val="0FF46724"/>
    <w:rsid w:val="10221AC0"/>
    <w:rsid w:val="106E3473"/>
    <w:rsid w:val="108131DD"/>
    <w:rsid w:val="108230A5"/>
    <w:rsid w:val="10F56664"/>
    <w:rsid w:val="10F7298E"/>
    <w:rsid w:val="11043CD0"/>
    <w:rsid w:val="110F10D1"/>
    <w:rsid w:val="1119491C"/>
    <w:rsid w:val="117C0058"/>
    <w:rsid w:val="118D209C"/>
    <w:rsid w:val="11936376"/>
    <w:rsid w:val="11B82D63"/>
    <w:rsid w:val="11C5063A"/>
    <w:rsid w:val="12B27083"/>
    <w:rsid w:val="12BA7EC6"/>
    <w:rsid w:val="12D20EAC"/>
    <w:rsid w:val="13116F0E"/>
    <w:rsid w:val="13132FCE"/>
    <w:rsid w:val="134A0035"/>
    <w:rsid w:val="135C7F4F"/>
    <w:rsid w:val="1382544E"/>
    <w:rsid w:val="13997B36"/>
    <w:rsid w:val="13BC3D5B"/>
    <w:rsid w:val="13BF03D8"/>
    <w:rsid w:val="141B1C76"/>
    <w:rsid w:val="14A20FFB"/>
    <w:rsid w:val="14B67E3C"/>
    <w:rsid w:val="14B82DC6"/>
    <w:rsid w:val="14E763B9"/>
    <w:rsid w:val="1518593F"/>
    <w:rsid w:val="153214F9"/>
    <w:rsid w:val="153372CB"/>
    <w:rsid w:val="154410F5"/>
    <w:rsid w:val="16150148"/>
    <w:rsid w:val="16563130"/>
    <w:rsid w:val="16800EA7"/>
    <w:rsid w:val="169343E9"/>
    <w:rsid w:val="16A42650"/>
    <w:rsid w:val="16AA08E2"/>
    <w:rsid w:val="16BE338F"/>
    <w:rsid w:val="16D12C71"/>
    <w:rsid w:val="16F24CA6"/>
    <w:rsid w:val="171B31CF"/>
    <w:rsid w:val="175A4317"/>
    <w:rsid w:val="176156CD"/>
    <w:rsid w:val="177E36D0"/>
    <w:rsid w:val="179450F0"/>
    <w:rsid w:val="17945CA4"/>
    <w:rsid w:val="180E362D"/>
    <w:rsid w:val="181B2E1C"/>
    <w:rsid w:val="182D4589"/>
    <w:rsid w:val="18571522"/>
    <w:rsid w:val="18787128"/>
    <w:rsid w:val="18B278BB"/>
    <w:rsid w:val="18B9619D"/>
    <w:rsid w:val="18EB5907"/>
    <w:rsid w:val="190A668D"/>
    <w:rsid w:val="191242AE"/>
    <w:rsid w:val="195B3A6D"/>
    <w:rsid w:val="196B02E6"/>
    <w:rsid w:val="19AC5C42"/>
    <w:rsid w:val="19BC1AC5"/>
    <w:rsid w:val="19C257DC"/>
    <w:rsid w:val="19D92839"/>
    <w:rsid w:val="19DD3DE3"/>
    <w:rsid w:val="1A201089"/>
    <w:rsid w:val="1A330485"/>
    <w:rsid w:val="1A384090"/>
    <w:rsid w:val="1A913825"/>
    <w:rsid w:val="1AA366F2"/>
    <w:rsid w:val="1AC82085"/>
    <w:rsid w:val="1AEF5DBD"/>
    <w:rsid w:val="1B423649"/>
    <w:rsid w:val="1B510746"/>
    <w:rsid w:val="1BA24967"/>
    <w:rsid w:val="1BD95F94"/>
    <w:rsid w:val="1BDA5141"/>
    <w:rsid w:val="1C3D1CD0"/>
    <w:rsid w:val="1C5E7298"/>
    <w:rsid w:val="1C851710"/>
    <w:rsid w:val="1C917FBA"/>
    <w:rsid w:val="1D027DA6"/>
    <w:rsid w:val="1D7F0F66"/>
    <w:rsid w:val="1D82362E"/>
    <w:rsid w:val="1DA57DC6"/>
    <w:rsid w:val="1DB028A2"/>
    <w:rsid w:val="1DD14FB1"/>
    <w:rsid w:val="1DDD518B"/>
    <w:rsid w:val="1E1507D7"/>
    <w:rsid w:val="1E3072B7"/>
    <w:rsid w:val="1E403C53"/>
    <w:rsid w:val="1EA20D4A"/>
    <w:rsid w:val="1EAA6DF5"/>
    <w:rsid w:val="1EB573ED"/>
    <w:rsid w:val="1ECC19F8"/>
    <w:rsid w:val="1EFF6958"/>
    <w:rsid w:val="1F0926FA"/>
    <w:rsid w:val="1F0A1209"/>
    <w:rsid w:val="1F734328"/>
    <w:rsid w:val="1FA11974"/>
    <w:rsid w:val="1FAE283E"/>
    <w:rsid w:val="1FB32543"/>
    <w:rsid w:val="200E49C4"/>
    <w:rsid w:val="20203DE8"/>
    <w:rsid w:val="2031215C"/>
    <w:rsid w:val="20955704"/>
    <w:rsid w:val="20DB7C51"/>
    <w:rsid w:val="20E9518E"/>
    <w:rsid w:val="20FE42D5"/>
    <w:rsid w:val="210067C7"/>
    <w:rsid w:val="211313D4"/>
    <w:rsid w:val="21234291"/>
    <w:rsid w:val="213F3830"/>
    <w:rsid w:val="21861202"/>
    <w:rsid w:val="218E2416"/>
    <w:rsid w:val="21C067D1"/>
    <w:rsid w:val="21E52206"/>
    <w:rsid w:val="21F86645"/>
    <w:rsid w:val="2269133C"/>
    <w:rsid w:val="22C4562D"/>
    <w:rsid w:val="22F34C5F"/>
    <w:rsid w:val="23144387"/>
    <w:rsid w:val="234E7F45"/>
    <w:rsid w:val="23686144"/>
    <w:rsid w:val="237C25AE"/>
    <w:rsid w:val="238E5B95"/>
    <w:rsid w:val="239A17D4"/>
    <w:rsid w:val="239F51B6"/>
    <w:rsid w:val="241B2FD5"/>
    <w:rsid w:val="242445BB"/>
    <w:rsid w:val="243F039F"/>
    <w:rsid w:val="245B6D34"/>
    <w:rsid w:val="24B3286B"/>
    <w:rsid w:val="24B5447A"/>
    <w:rsid w:val="24B82068"/>
    <w:rsid w:val="24E02080"/>
    <w:rsid w:val="24E10292"/>
    <w:rsid w:val="25043CC9"/>
    <w:rsid w:val="25741810"/>
    <w:rsid w:val="25CF1B20"/>
    <w:rsid w:val="25D04052"/>
    <w:rsid w:val="25DE0600"/>
    <w:rsid w:val="26281CED"/>
    <w:rsid w:val="264B4D7A"/>
    <w:rsid w:val="265D0D96"/>
    <w:rsid w:val="269447EB"/>
    <w:rsid w:val="26B07C33"/>
    <w:rsid w:val="26D47A62"/>
    <w:rsid w:val="270155DC"/>
    <w:rsid w:val="270270D4"/>
    <w:rsid w:val="27306E68"/>
    <w:rsid w:val="27606908"/>
    <w:rsid w:val="27620233"/>
    <w:rsid w:val="276D70AB"/>
    <w:rsid w:val="277E77C1"/>
    <w:rsid w:val="27AE47D9"/>
    <w:rsid w:val="27C7291F"/>
    <w:rsid w:val="27E26E59"/>
    <w:rsid w:val="27F86794"/>
    <w:rsid w:val="27FA3E65"/>
    <w:rsid w:val="2806684A"/>
    <w:rsid w:val="2809471B"/>
    <w:rsid w:val="28255BB3"/>
    <w:rsid w:val="285478B9"/>
    <w:rsid w:val="28603CA4"/>
    <w:rsid w:val="287D0002"/>
    <w:rsid w:val="287D5E75"/>
    <w:rsid w:val="28AD0B61"/>
    <w:rsid w:val="28FA7E82"/>
    <w:rsid w:val="29423CBE"/>
    <w:rsid w:val="29B04DA9"/>
    <w:rsid w:val="29CD3FA9"/>
    <w:rsid w:val="2A1862C4"/>
    <w:rsid w:val="2A1D0497"/>
    <w:rsid w:val="2A4B23FB"/>
    <w:rsid w:val="2AC455D6"/>
    <w:rsid w:val="2AC82235"/>
    <w:rsid w:val="2AF0613E"/>
    <w:rsid w:val="2B083F92"/>
    <w:rsid w:val="2B32636D"/>
    <w:rsid w:val="2B542A45"/>
    <w:rsid w:val="2B683FBF"/>
    <w:rsid w:val="2BB96BD3"/>
    <w:rsid w:val="2BC72D99"/>
    <w:rsid w:val="2BE54292"/>
    <w:rsid w:val="2BFC2B9D"/>
    <w:rsid w:val="2C09079D"/>
    <w:rsid w:val="2C285659"/>
    <w:rsid w:val="2C4872CD"/>
    <w:rsid w:val="2C9F2631"/>
    <w:rsid w:val="2CF51ED1"/>
    <w:rsid w:val="2CFA23BD"/>
    <w:rsid w:val="2D3B228A"/>
    <w:rsid w:val="2D5923F4"/>
    <w:rsid w:val="2D8523AE"/>
    <w:rsid w:val="2DB6192E"/>
    <w:rsid w:val="2DB67426"/>
    <w:rsid w:val="2DF36570"/>
    <w:rsid w:val="2E103F98"/>
    <w:rsid w:val="2EB775B3"/>
    <w:rsid w:val="2EC80E25"/>
    <w:rsid w:val="2ECD5251"/>
    <w:rsid w:val="2ED54702"/>
    <w:rsid w:val="2EE85B84"/>
    <w:rsid w:val="2EF94A67"/>
    <w:rsid w:val="2EFC31BC"/>
    <w:rsid w:val="2F2F4C2C"/>
    <w:rsid w:val="2F3D4E71"/>
    <w:rsid w:val="2F5F43CE"/>
    <w:rsid w:val="2FED793D"/>
    <w:rsid w:val="302E07AF"/>
    <w:rsid w:val="30751E86"/>
    <w:rsid w:val="30866EAA"/>
    <w:rsid w:val="30946552"/>
    <w:rsid w:val="309E20B5"/>
    <w:rsid w:val="30BF1F4D"/>
    <w:rsid w:val="30D77645"/>
    <w:rsid w:val="30F3431F"/>
    <w:rsid w:val="311B0263"/>
    <w:rsid w:val="31503E5A"/>
    <w:rsid w:val="316D7D0D"/>
    <w:rsid w:val="319D3380"/>
    <w:rsid w:val="31AE180F"/>
    <w:rsid w:val="31AE4D12"/>
    <w:rsid w:val="31BB0B8C"/>
    <w:rsid w:val="32237627"/>
    <w:rsid w:val="3244236F"/>
    <w:rsid w:val="326B2AB6"/>
    <w:rsid w:val="32954313"/>
    <w:rsid w:val="32A942B0"/>
    <w:rsid w:val="32B005E8"/>
    <w:rsid w:val="32F13120"/>
    <w:rsid w:val="333000CE"/>
    <w:rsid w:val="333663A2"/>
    <w:rsid w:val="335B55F1"/>
    <w:rsid w:val="335C2711"/>
    <w:rsid w:val="33863C3A"/>
    <w:rsid w:val="339F04B3"/>
    <w:rsid w:val="33A81036"/>
    <w:rsid w:val="33E26367"/>
    <w:rsid w:val="33F614DE"/>
    <w:rsid w:val="341E7B56"/>
    <w:rsid w:val="34207E90"/>
    <w:rsid w:val="342C61EA"/>
    <w:rsid w:val="34603CB1"/>
    <w:rsid w:val="34914DCA"/>
    <w:rsid w:val="34C6331F"/>
    <w:rsid w:val="34D95BB9"/>
    <w:rsid w:val="34F97D00"/>
    <w:rsid w:val="35050B53"/>
    <w:rsid w:val="35461EDF"/>
    <w:rsid w:val="354D014F"/>
    <w:rsid w:val="35502BD2"/>
    <w:rsid w:val="3569384E"/>
    <w:rsid w:val="35A35F0C"/>
    <w:rsid w:val="35B43C28"/>
    <w:rsid w:val="361C2353"/>
    <w:rsid w:val="3635547B"/>
    <w:rsid w:val="365C6586"/>
    <w:rsid w:val="36746B61"/>
    <w:rsid w:val="36A9407C"/>
    <w:rsid w:val="36CA7953"/>
    <w:rsid w:val="36FA1D41"/>
    <w:rsid w:val="3719430F"/>
    <w:rsid w:val="37C2178A"/>
    <w:rsid w:val="37C86384"/>
    <w:rsid w:val="37D61EDD"/>
    <w:rsid w:val="37E26F6D"/>
    <w:rsid w:val="37E93248"/>
    <w:rsid w:val="37F97B97"/>
    <w:rsid w:val="380411EC"/>
    <w:rsid w:val="3829480D"/>
    <w:rsid w:val="383529C2"/>
    <w:rsid w:val="383C5BD0"/>
    <w:rsid w:val="38536D3F"/>
    <w:rsid w:val="387933ED"/>
    <w:rsid w:val="387B61F0"/>
    <w:rsid w:val="387C466F"/>
    <w:rsid w:val="387D26D9"/>
    <w:rsid w:val="388727CC"/>
    <w:rsid w:val="38F51E45"/>
    <w:rsid w:val="39024B57"/>
    <w:rsid w:val="392207C3"/>
    <w:rsid w:val="39F1794B"/>
    <w:rsid w:val="3A02147B"/>
    <w:rsid w:val="3A06167E"/>
    <w:rsid w:val="3A3665DD"/>
    <w:rsid w:val="3A534B7E"/>
    <w:rsid w:val="3A6F42D5"/>
    <w:rsid w:val="3A82293D"/>
    <w:rsid w:val="3A9E2AD9"/>
    <w:rsid w:val="3AC57875"/>
    <w:rsid w:val="3AE309A9"/>
    <w:rsid w:val="3AEF40DA"/>
    <w:rsid w:val="3B596DF7"/>
    <w:rsid w:val="3B8D1E1C"/>
    <w:rsid w:val="3BC23F1A"/>
    <w:rsid w:val="3BC52C1E"/>
    <w:rsid w:val="3C2A7289"/>
    <w:rsid w:val="3C5503C9"/>
    <w:rsid w:val="3C6D30EA"/>
    <w:rsid w:val="3C6D47EB"/>
    <w:rsid w:val="3CCB7AFB"/>
    <w:rsid w:val="3CD8469E"/>
    <w:rsid w:val="3CF84A6E"/>
    <w:rsid w:val="3D2C7D07"/>
    <w:rsid w:val="3D2E7413"/>
    <w:rsid w:val="3D406D01"/>
    <w:rsid w:val="3D4E0A24"/>
    <w:rsid w:val="3D5934AC"/>
    <w:rsid w:val="3D966C01"/>
    <w:rsid w:val="3DA51E2F"/>
    <w:rsid w:val="3DB43891"/>
    <w:rsid w:val="3DBE2C48"/>
    <w:rsid w:val="3E0B7BD9"/>
    <w:rsid w:val="3E1D4EEF"/>
    <w:rsid w:val="3E267F59"/>
    <w:rsid w:val="3E2E7FDD"/>
    <w:rsid w:val="3E4456FC"/>
    <w:rsid w:val="3EA877DC"/>
    <w:rsid w:val="3F1E12A1"/>
    <w:rsid w:val="3F7117D8"/>
    <w:rsid w:val="3FA702FB"/>
    <w:rsid w:val="3FCF3774"/>
    <w:rsid w:val="3FEB0FB3"/>
    <w:rsid w:val="40325295"/>
    <w:rsid w:val="407C021F"/>
    <w:rsid w:val="40F33173"/>
    <w:rsid w:val="40F82E28"/>
    <w:rsid w:val="41585AC3"/>
    <w:rsid w:val="41755806"/>
    <w:rsid w:val="41762118"/>
    <w:rsid w:val="41B34CCB"/>
    <w:rsid w:val="41C87C60"/>
    <w:rsid w:val="41C96466"/>
    <w:rsid w:val="41CC0719"/>
    <w:rsid w:val="41CE3596"/>
    <w:rsid w:val="41F45C74"/>
    <w:rsid w:val="41F85DEA"/>
    <w:rsid w:val="420610DF"/>
    <w:rsid w:val="42407D0F"/>
    <w:rsid w:val="429544E1"/>
    <w:rsid w:val="42A779B5"/>
    <w:rsid w:val="42B76D04"/>
    <w:rsid w:val="42CE6929"/>
    <w:rsid w:val="42F71CEC"/>
    <w:rsid w:val="43057719"/>
    <w:rsid w:val="43A47886"/>
    <w:rsid w:val="43BD07B0"/>
    <w:rsid w:val="43C65B01"/>
    <w:rsid w:val="43DF4E15"/>
    <w:rsid w:val="43E53BCD"/>
    <w:rsid w:val="43EF2749"/>
    <w:rsid w:val="43F03364"/>
    <w:rsid w:val="43F24FED"/>
    <w:rsid w:val="443B107F"/>
    <w:rsid w:val="445C4E37"/>
    <w:rsid w:val="44776D6B"/>
    <w:rsid w:val="44843D36"/>
    <w:rsid w:val="44B14540"/>
    <w:rsid w:val="44BA7E1E"/>
    <w:rsid w:val="44BE79C3"/>
    <w:rsid w:val="45271F81"/>
    <w:rsid w:val="455340E3"/>
    <w:rsid w:val="4557657E"/>
    <w:rsid w:val="45BC7A33"/>
    <w:rsid w:val="45CA31DA"/>
    <w:rsid w:val="45D50D55"/>
    <w:rsid w:val="45EC6821"/>
    <w:rsid w:val="45F303D0"/>
    <w:rsid w:val="45F84858"/>
    <w:rsid w:val="462356B3"/>
    <w:rsid w:val="464004CF"/>
    <w:rsid w:val="46460503"/>
    <w:rsid w:val="4673772B"/>
    <w:rsid w:val="46A55352"/>
    <w:rsid w:val="46B51FCF"/>
    <w:rsid w:val="46BA0199"/>
    <w:rsid w:val="46FF6AF5"/>
    <w:rsid w:val="47062A9A"/>
    <w:rsid w:val="476E313F"/>
    <w:rsid w:val="4771580B"/>
    <w:rsid w:val="47993F84"/>
    <w:rsid w:val="47BB48EC"/>
    <w:rsid w:val="47BD666C"/>
    <w:rsid w:val="47DB6CDA"/>
    <w:rsid w:val="480A17DC"/>
    <w:rsid w:val="482A3553"/>
    <w:rsid w:val="48896E93"/>
    <w:rsid w:val="4896658D"/>
    <w:rsid w:val="48F77743"/>
    <w:rsid w:val="497F7FCC"/>
    <w:rsid w:val="49B17433"/>
    <w:rsid w:val="4A284A82"/>
    <w:rsid w:val="4A5C202E"/>
    <w:rsid w:val="4A662E1D"/>
    <w:rsid w:val="4A7E32B4"/>
    <w:rsid w:val="4AD94E56"/>
    <w:rsid w:val="4AF07359"/>
    <w:rsid w:val="4AFC533A"/>
    <w:rsid w:val="4B1367B9"/>
    <w:rsid w:val="4B316DE7"/>
    <w:rsid w:val="4B565C38"/>
    <w:rsid w:val="4B6D7831"/>
    <w:rsid w:val="4B873797"/>
    <w:rsid w:val="4B8D0855"/>
    <w:rsid w:val="4B920891"/>
    <w:rsid w:val="4B9C680D"/>
    <w:rsid w:val="4BB221B4"/>
    <w:rsid w:val="4C273B2C"/>
    <w:rsid w:val="4C353BC7"/>
    <w:rsid w:val="4C5D54D6"/>
    <w:rsid w:val="4C814518"/>
    <w:rsid w:val="4C91315E"/>
    <w:rsid w:val="4CAD0872"/>
    <w:rsid w:val="4CCE50CA"/>
    <w:rsid w:val="4CE57F81"/>
    <w:rsid w:val="4D171B62"/>
    <w:rsid w:val="4D3A24A4"/>
    <w:rsid w:val="4D4458F0"/>
    <w:rsid w:val="4D594475"/>
    <w:rsid w:val="4D762F64"/>
    <w:rsid w:val="4D941A9A"/>
    <w:rsid w:val="4DB06342"/>
    <w:rsid w:val="4DEC01C6"/>
    <w:rsid w:val="4DF158ED"/>
    <w:rsid w:val="4E0C3478"/>
    <w:rsid w:val="4E207448"/>
    <w:rsid w:val="4E4D0205"/>
    <w:rsid w:val="4E865DE0"/>
    <w:rsid w:val="4EB31914"/>
    <w:rsid w:val="4EC83A06"/>
    <w:rsid w:val="4EE32FEF"/>
    <w:rsid w:val="4F1C0A54"/>
    <w:rsid w:val="4F235FC8"/>
    <w:rsid w:val="4F2C3853"/>
    <w:rsid w:val="4F457C0A"/>
    <w:rsid w:val="4F530CAB"/>
    <w:rsid w:val="4F7F20AA"/>
    <w:rsid w:val="4F873909"/>
    <w:rsid w:val="4F9510BA"/>
    <w:rsid w:val="4FF617D6"/>
    <w:rsid w:val="502B2CEE"/>
    <w:rsid w:val="50507ECA"/>
    <w:rsid w:val="506B2DFC"/>
    <w:rsid w:val="508F3931"/>
    <w:rsid w:val="50E64646"/>
    <w:rsid w:val="50F56E5E"/>
    <w:rsid w:val="50FC2CFB"/>
    <w:rsid w:val="513A3326"/>
    <w:rsid w:val="513B4B9D"/>
    <w:rsid w:val="515C13CF"/>
    <w:rsid w:val="51644678"/>
    <w:rsid w:val="516A6684"/>
    <w:rsid w:val="518C6DB2"/>
    <w:rsid w:val="51AF5989"/>
    <w:rsid w:val="51E25CE3"/>
    <w:rsid w:val="51E261D3"/>
    <w:rsid w:val="51EA16FB"/>
    <w:rsid w:val="51FF7611"/>
    <w:rsid w:val="5223684A"/>
    <w:rsid w:val="52A32CE7"/>
    <w:rsid w:val="52A955AB"/>
    <w:rsid w:val="53186CFA"/>
    <w:rsid w:val="532C26FC"/>
    <w:rsid w:val="53322A76"/>
    <w:rsid w:val="53664C1B"/>
    <w:rsid w:val="5367003F"/>
    <w:rsid w:val="53C54AA3"/>
    <w:rsid w:val="544D3401"/>
    <w:rsid w:val="546C79C7"/>
    <w:rsid w:val="54732E31"/>
    <w:rsid w:val="547F5841"/>
    <w:rsid w:val="54A648D1"/>
    <w:rsid w:val="54CE4162"/>
    <w:rsid w:val="54D81A93"/>
    <w:rsid w:val="54DB29BD"/>
    <w:rsid w:val="54E44ED6"/>
    <w:rsid w:val="5529069B"/>
    <w:rsid w:val="55571991"/>
    <w:rsid w:val="566931AC"/>
    <w:rsid w:val="568155BC"/>
    <w:rsid w:val="56F374FB"/>
    <w:rsid w:val="570E1063"/>
    <w:rsid w:val="57613A81"/>
    <w:rsid w:val="5763406D"/>
    <w:rsid w:val="576F457F"/>
    <w:rsid w:val="579B36B6"/>
    <w:rsid w:val="58532B7C"/>
    <w:rsid w:val="58A26F1E"/>
    <w:rsid w:val="58B11480"/>
    <w:rsid w:val="58D81F5B"/>
    <w:rsid w:val="58F75D03"/>
    <w:rsid w:val="592D06A1"/>
    <w:rsid w:val="59620232"/>
    <w:rsid w:val="596D61FA"/>
    <w:rsid w:val="59886901"/>
    <w:rsid w:val="59A00F56"/>
    <w:rsid w:val="59B24039"/>
    <w:rsid w:val="59DA5A4F"/>
    <w:rsid w:val="5A31005C"/>
    <w:rsid w:val="5A637CC1"/>
    <w:rsid w:val="5AB72D62"/>
    <w:rsid w:val="5AFE63C7"/>
    <w:rsid w:val="5B0260D0"/>
    <w:rsid w:val="5B3D7266"/>
    <w:rsid w:val="5B73223F"/>
    <w:rsid w:val="5B8764EB"/>
    <w:rsid w:val="5B8D1AC1"/>
    <w:rsid w:val="5BA3592C"/>
    <w:rsid w:val="5BAB7539"/>
    <w:rsid w:val="5BB440EE"/>
    <w:rsid w:val="5BCE0DEA"/>
    <w:rsid w:val="5C0C254C"/>
    <w:rsid w:val="5C29341A"/>
    <w:rsid w:val="5C5D2B35"/>
    <w:rsid w:val="5C610721"/>
    <w:rsid w:val="5C8B6FF1"/>
    <w:rsid w:val="5C9818A6"/>
    <w:rsid w:val="5CE63CA8"/>
    <w:rsid w:val="5CFE4143"/>
    <w:rsid w:val="5D13255A"/>
    <w:rsid w:val="5D331782"/>
    <w:rsid w:val="5D502A92"/>
    <w:rsid w:val="5D9F44EB"/>
    <w:rsid w:val="5DE54931"/>
    <w:rsid w:val="5E1F098C"/>
    <w:rsid w:val="5E204AD7"/>
    <w:rsid w:val="5E4C6102"/>
    <w:rsid w:val="5E6D4BC0"/>
    <w:rsid w:val="5E84153E"/>
    <w:rsid w:val="5EEA5BA3"/>
    <w:rsid w:val="5F3E69CE"/>
    <w:rsid w:val="5FB9411A"/>
    <w:rsid w:val="5FD528C8"/>
    <w:rsid w:val="5FE11ED3"/>
    <w:rsid w:val="6009519E"/>
    <w:rsid w:val="601E1E93"/>
    <w:rsid w:val="603D2CDD"/>
    <w:rsid w:val="608E0346"/>
    <w:rsid w:val="609A61F8"/>
    <w:rsid w:val="60A041A6"/>
    <w:rsid w:val="60AD5F5F"/>
    <w:rsid w:val="60D525F3"/>
    <w:rsid w:val="60E30438"/>
    <w:rsid w:val="61127BCE"/>
    <w:rsid w:val="611E5441"/>
    <w:rsid w:val="612D3C7B"/>
    <w:rsid w:val="617C2D8F"/>
    <w:rsid w:val="61826F89"/>
    <w:rsid w:val="61D11F09"/>
    <w:rsid w:val="62135DC5"/>
    <w:rsid w:val="622A54BD"/>
    <w:rsid w:val="623E2101"/>
    <w:rsid w:val="626242CD"/>
    <w:rsid w:val="62757735"/>
    <w:rsid w:val="628B64AF"/>
    <w:rsid w:val="62947A1C"/>
    <w:rsid w:val="62A109BE"/>
    <w:rsid w:val="62AC3FB8"/>
    <w:rsid w:val="62CD6DE1"/>
    <w:rsid w:val="62D135AD"/>
    <w:rsid w:val="62E70A4E"/>
    <w:rsid w:val="62FD4A9D"/>
    <w:rsid w:val="631E3D17"/>
    <w:rsid w:val="632C6FC4"/>
    <w:rsid w:val="632F46C6"/>
    <w:rsid w:val="633C129B"/>
    <w:rsid w:val="634B3FF6"/>
    <w:rsid w:val="63CE373A"/>
    <w:rsid w:val="63DA517F"/>
    <w:rsid w:val="64460ECC"/>
    <w:rsid w:val="644F5E22"/>
    <w:rsid w:val="64681DB1"/>
    <w:rsid w:val="64902A98"/>
    <w:rsid w:val="64961979"/>
    <w:rsid w:val="64D843A5"/>
    <w:rsid w:val="64E46FA4"/>
    <w:rsid w:val="65295842"/>
    <w:rsid w:val="652B7ADD"/>
    <w:rsid w:val="653E277C"/>
    <w:rsid w:val="657E520F"/>
    <w:rsid w:val="660B78BD"/>
    <w:rsid w:val="663B46C9"/>
    <w:rsid w:val="663F30CF"/>
    <w:rsid w:val="66DB09CF"/>
    <w:rsid w:val="66F93E1B"/>
    <w:rsid w:val="67413BF6"/>
    <w:rsid w:val="6755359A"/>
    <w:rsid w:val="67A7418D"/>
    <w:rsid w:val="67D27C62"/>
    <w:rsid w:val="67D67A95"/>
    <w:rsid w:val="67DE7597"/>
    <w:rsid w:val="67DF6978"/>
    <w:rsid w:val="67FB1CE6"/>
    <w:rsid w:val="68CC107E"/>
    <w:rsid w:val="68D102AF"/>
    <w:rsid w:val="694E04D2"/>
    <w:rsid w:val="695664EF"/>
    <w:rsid w:val="69653491"/>
    <w:rsid w:val="698044A5"/>
    <w:rsid w:val="69E66B78"/>
    <w:rsid w:val="6A510F7A"/>
    <w:rsid w:val="6A7259EE"/>
    <w:rsid w:val="6A8739D3"/>
    <w:rsid w:val="6AA67E64"/>
    <w:rsid w:val="6AF21A55"/>
    <w:rsid w:val="6B0D712F"/>
    <w:rsid w:val="6B28575B"/>
    <w:rsid w:val="6B472B04"/>
    <w:rsid w:val="6B827ED3"/>
    <w:rsid w:val="6B8B198F"/>
    <w:rsid w:val="6B993DD8"/>
    <w:rsid w:val="6BA37D8C"/>
    <w:rsid w:val="6BD66216"/>
    <w:rsid w:val="6BE4485D"/>
    <w:rsid w:val="6BFE3795"/>
    <w:rsid w:val="6C1E113E"/>
    <w:rsid w:val="6C3A1127"/>
    <w:rsid w:val="6C3B11AE"/>
    <w:rsid w:val="6C3B431E"/>
    <w:rsid w:val="6C511D45"/>
    <w:rsid w:val="6C857DA8"/>
    <w:rsid w:val="6CC1587C"/>
    <w:rsid w:val="6D266267"/>
    <w:rsid w:val="6D2B74AA"/>
    <w:rsid w:val="6D4A3A68"/>
    <w:rsid w:val="6D697BC3"/>
    <w:rsid w:val="6D7111BC"/>
    <w:rsid w:val="6D895039"/>
    <w:rsid w:val="6DCA5CB9"/>
    <w:rsid w:val="6E08583A"/>
    <w:rsid w:val="6E280F38"/>
    <w:rsid w:val="6E3010E6"/>
    <w:rsid w:val="6E406F22"/>
    <w:rsid w:val="6E5408E4"/>
    <w:rsid w:val="6E8A21F7"/>
    <w:rsid w:val="6ECB7942"/>
    <w:rsid w:val="6EFC69C0"/>
    <w:rsid w:val="6F000F0B"/>
    <w:rsid w:val="6F197436"/>
    <w:rsid w:val="6F2867BD"/>
    <w:rsid w:val="6F376285"/>
    <w:rsid w:val="6F44559B"/>
    <w:rsid w:val="70060EA7"/>
    <w:rsid w:val="70115BE8"/>
    <w:rsid w:val="703A2630"/>
    <w:rsid w:val="70561E49"/>
    <w:rsid w:val="709C594C"/>
    <w:rsid w:val="70BA2B7E"/>
    <w:rsid w:val="70C723A5"/>
    <w:rsid w:val="70CB669B"/>
    <w:rsid w:val="716245C4"/>
    <w:rsid w:val="71C4213D"/>
    <w:rsid w:val="71D0045B"/>
    <w:rsid w:val="71D05F49"/>
    <w:rsid w:val="71F773F9"/>
    <w:rsid w:val="720F4381"/>
    <w:rsid w:val="725E4C39"/>
    <w:rsid w:val="72C91F7A"/>
    <w:rsid w:val="73090FE2"/>
    <w:rsid w:val="73265607"/>
    <w:rsid w:val="73522B35"/>
    <w:rsid w:val="7399271A"/>
    <w:rsid w:val="73B418AA"/>
    <w:rsid w:val="73EC173C"/>
    <w:rsid w:val="73F82EA2"/>
    <w:rsid w:val="7435596C"/>
    <w:rsid w:val="74722C9A"/>
    <w:rsid w:val="747E452E"/>
    <w:rsid w:val="74880357"/>
    <w:rsid w:val="749E15DE"/>
    <w:rsid w:val="74A647DF"/>
    <w:rsid w:val="74A91F47"/>
    <w:rsid w:val="74D91075"/>
    <w:rsid w:val="74DC2BE0"/>
    <w:rsid w:val="74E82CC1"/>
    <w:rsid w:val="74FA5A4A"/>
    <w:rsid w:val="751A36A3"/>
    <w:rsid w:val="75330480"/>
    <w:rsid w:val="754B57C9"/>
    <w:rsid w:val="755F161D"/>
    <w:rsid w:val="75884210"/>
    <w:rsid w:val="75BD4A84"/>
    <w:rsid w:val="75EA7003"/>
    <w:rsid w:val="75F669BB"/>
    <w:rsid w:val="760D56E2"/>
    <w:rsid w:val="76342671"/>
    <w:rsid w:val="76EE218C"/>
    <w:rsid w:val="771614C5"/>
    <w:rsid w:val="772A411D"/>
    <w:rsid w:val="772E0B03"/>
    <w:rsid w:val="773C532B"/>
    <w:rsid w:val="773F5765"/>
    <w:rsid w:val="77642276"/>
    <w:rsid w:val="778A542A"/>
    <w:rsid w:val="77C177F8"/>
    <w:rsid w:val="77D20625"/>
    <w:rsid w:val="77DB3F30"/>
    <w:rsid w:val="77EF5E51"/>
    <w:rsid w:val="78114B94"/>
    <w:rsid w:val="788F1E71"/>
    <w:rsid w:val="789A3CEC"/>
    <w:rsid w:val="78AF6BF5"/>
    <w:rsid w:val="78B94C17"/>
    <w:rsid w:val="78BF6D54"/>
    <w:rsid w:val="79251491"/>
    <w:rsid w:val="79267717"/>
    <w:rsid w:val="79332F0B"/>
    <w:rsid w:val="796923D7"/>
    <w:rsid w:val="797E2B85"/>
    <w:rsid w:val="79C11BD2"/>
    <w:rsid w:val="79E76B50"/>
    <w:rsid w:val="79E8078D"/>
    <w:rsid w:val="7A3422EE"/>
    <w:rsid w:val="7A4774F3"/>
    <w:rsid w:val="7A5955C8"/>
    <w:rsid w:val="7A915587"/>
    <w:rsid w:val="7AA678C6"/>
    <w:rsid w:val="7B016CDB"/>
    <w:rsid w:val="7B113087"/>
    <w:rsid w:val="7B230F9F"/>
    <w:rsid w:val="7B23609A"/>
    <w:rsid w:val="7B390471"/>
    <w:rsid w:val="7B5441DD"/>
    <w:rsid w:val="7B9D3F28"/>
    <w:rsid w:val="7B9E2E7D"/>
    <w:rsid w:val="7BA5186C"/>
    <w:rsid w:val="7BB92BA6"/>
    <w:rsid w:val="7BEA35A6"/>
    <w:rsid w:val="7C050B07"/>
    <w:rsid w:val="7C9E18CE"/>
    <w:rsid w:val="7C9E7A01"/>
    <w:rsid w:val="7D1A2932"/>
    <w:rsid w:val="7D1F3748"/>
    <w:rsid w:val="7D2E186E"/>
    <w:rsid w:val="7D8F4D8B"/>
    <w:rsid w:val="7D972C8E"/>
    <w:rsid w:val="7DBA4407"/>
    <w:rsid w:val="7DCC2180"/>
    <w:rsid w:val="7DD14D63"/>
    <w:rsid w:val="7E04089A"/>
    <w:rsid w:val="7E0773D0"/>
    <w:rsid w:val="7E256583"/>
    <w:rsid w:val="7E367A91"/>
    <w:rsid w:val="7E5D66DD"/>
    <w:rsid w:val="7E734104"/>
    <w:rsid w:val="7E7C3173"/>
    <w:rsid w:val="7E926C7F"/>
    <w:rsid w:val="7EE00201"/>
    <w:rsid w:val="7EE628C5"/>
    <w:rsid w:val="7EED3DCE"/>
    <w:rsid w:val="7EEE5FCC"/>
    <w:rsid w:val="7F2E279D"/>
    <w:rsid w:val="7F60044C"/>
    <w:rsid w:val="7F6848DF"/>
    <w:rsid w:val="7F7054DF"/>
    <w:rsid w:val="7F724CCB"/>
    <w:rsid w:val="7F8044A4"/>
    <w:rsid w:val="7F880165"/>
    <w:rsid w:val="7FA55375"/>
    <w:rsid w:val="7FD453A9"/>
    <w:rsid w:val="7FF47A78"/>
    <w:rsid w:val="7FF76F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spacing w:before="120"/>
      <w:outlineLvl w:val="2"/>
    </w:pPr>
    <w:rPr>
      <w:sz w:val="28"/>
      <w:szCs w:val="28"/>
    </w:rPr>
  </w:style>
  <w:style w:type="paragraph" w:styleId="5">
    <w:name w:val="heading 4"/>
    <w:basedOn w:val="4"/>
    <w:next w:val="1"/>
    <w:qFormat/>
    <w:uiPriority w:val="0"/>
    <w:pPr>
      <w:outlineLvl w:val="3"/>
    </w:pPr>
    <w:rPr>
      <w:sz w:val="24"/>
      <w:szCs w:val="24"/>
    </w:rPr>
  </w:style>
  <w:style w:type="paragraph" w:styleId="6">
    <w:name w:val="heading 5"/>
    <w:basedOn w:val="5"/>
    <w:next w:val="1"/>
    <w:qFormat/>
    <w:uiPriority w:val="0"/>
    <w:p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1"/>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3"/>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9"/>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Hyperlink"/>
    <w:qFormat/>
    <w:uiPriority w:val="99"/>
    <w:rPr>
      <w:color w:val="0000FF"/>
      <w:u w:val="single"/>
    </w:rPr>
  </w:style>
  <w:style w:type="character" w:styleId="51">
    <w:name w:val="annotation reference"/>
    <w:semiHidden/>
    <w:qFormat/>
    <w:uiPriority w:val="0"/>
    <w:rPr>
      <w:sz w:val="16"/>
      <w:szCs w:val="16"/>
    </w:rPr>
  </w:style>
  <w:style w:type="character" w:styleId="52">
    <w:name w:val="footnote reference"/>
    <w:semiHidden/>
    <w:qFormat/>
    <w:uiPriority w:val="0"/>
    <w:rPr>
      <w:b/>
      <w:bCs/>
      <w:position w:val="6"/>
      <w:sz w:val="16"/>
      <w:szCs w:val="16"/>
    </w:rPr>
  </w:style>
  <w:style w:type="paragraph" w:customStyle="1" w:styleId="53">
    <w:name w:val="Doc-title"/>
    <w:basedOn w:val="1"/>
    <w:next w:val="54"/>
    <w:qFormat/>
    <w:uiPriority w:val="0"/>
    <w:pPr>
      <w:spacing w:before="60"/>
      <w:ind w:left="1259" w:hanging="1259"/>
    </w:pPr>
  </w:style>
  <w:style w:type="paragraph" w:customStyle="1" w:styleId="54">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3"/>
    <w:link w:val="101"/>
    <w:qFormat/>
    <w:uiPriority w:val="0"/>
    <w:pPr>
      <w:spacing w:after="180"/>
      <w:jc w:val="left"/>
    </w:pPr>
    <w:rPr>
      <w:lang w:eastAsia="en-US"/>
    </w:rPr>
  </w:style>
  <w:style w:type="paragraph" w:customStyle="1" w:styleId="61">
    <w:name w:val="B2"/>
    <w:basedOn w:val="12"/>
    <w:qFormat/>
    <w:uiPriority w:val="0"/>
    <w:pPr>
      <w:spacing w:after="180"/>
      <w:jc w:val="left"/>
    </w:pPr>
    <w:rPr>
      <w:lang w:eastAsia="en-US"/>
    </w:rPr>
  </w:style>
  <w:style w:type="paragraph" w:customStyle="1" w:styleId="62">
    <w:name w:val="B3"/>
    <w:basedOn w:val="11"/>
    <w:qFormat/>
    <w:uiPriority w:val="0"/>
    <w:pPr>
      <w:spacing w:after="180"/>
      <w:jc w:val="left"/>
    </w:pPr>
    <w:rPr>
      <w:lang w:eastAsia="en-US"/>
    </w:rPr>
  </w:style>
  <w:style w:type="paragraph" w:customStyle="1" w:styleId="63">
    <w:name w:val="B4"/>
    <w:basedOn w:val="38"/>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7"/>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7"/>
    <w:qFormat/>
    <w:uiPriority w:val="0"/>
    <w:rPr>
      <w:rFonts w:ascii="Arial" w:hAnsi="Arial"/>
      <w:lang w:eastAsia="zh-CN"/>
    </w:rPr>
  </w:style>
  <w:style w:type="character" w:customStyle="1" w:styleId="92">
    <w:name w:val="ZGSM"/>
    <w:qFormat/>
    <w:uiPriority w:val="0"/>
  </w:style>
  <w:style w:type="character" w:customStyle="1" w:styleId="93">
    <w:name w:val="Doc-text2 Char"/>
    <w:link w:val="54"/>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5"/>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54"/>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0"/>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54"/>
    <w:qFormat/>
    <w:uiPriority w:val="0"/>
  </w:style>
  <w:style w:type="character" w:customStyle="1" w:styleId="116">
    <w:name w:val="WW8Num1z0"/>
    <w:qFormat/>
    <w:uiPriority w:val="0"/>
  </w:style>
  <w:style w:type="character" w:customStyle="1" w:styleId="117">
    <w:name w:val="ui-provider"/>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A30F-D21A-453C-A273-41545589DCAB}">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4</Pages>
  <Words>1139</Words>
  <Characters>6496</Characters>
  <Lines>54</Lines>
  <Paragraphs>15</Paragraphs>
  <TotalTime>8</TotalTime>
  <ScaleCrop>false</ScaleCrop>
  <LinksUpToDate>false</LinksUpToDate>
  <CharactersWithSpaces>7620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Ericsson</dc:creator>
  <cp:keywords>Ericsson; TDoc; 3GPP</cp:keywords>
  <cp:lastModifiedBy>CMCC</cp:lastModifiedBy>
  <cp:lastPrinted>2021-08-05T02:34:00Z</cp:lastPrinted>
  <dcterms:modified xsi:type="dcterms:W3CDTF">2025-02-07T01:57:53Z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22A3FB10EE73439DAB2BDFCEF0900CAE</vt:lpwstr>
  </property>
</Properties>
</file>